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78" w:rsidRPr="00E53720" w:rsidRDefault="00A55278" w:rsidP="00A55278">
      <w:pPr>
        <w:tabs>
          <w:tab w:val="left" w:pos="1080"/>
          <w:tab w:val="left" w:pos="2160"/>
        </w:tabs>
        <w:spacing w:before="0"/>
        <w:jc w:val="center"/>
        <w:rPr>
          <w:b/>
          <w:sz w:val="56"/>
          <w:szCs w:val="56"/>
        </w:rPr>
      </w:pPr>
      <w:bookmarkStart w:id="0" w:name="_GoBack"/>
      <w:bookmarkEnd w:id="0"/>
      <w:r>
        <w:rPr>
          <w:b/>
          <w:sz w:val="56"/>
          <w:szCs w:val="56"/>
        </w:rPr>
        <w:t>DEPARTMENT OF DEFENSE</w:t>
      </w:r>
      <w:r w:rsidRPr="00E53720">
        <w:rPr>
          <w:b/>
          <w:sz w:val="56"/>
          <w:szCs w:val="56"/>
        </w:rPr>
        <w:t xml:space="preserve"> </w:t>
      </w:r>
    </w:p>
    <w:p w:rsidR="00A55278" w:rsidRPr="00E53720" w:rsidRDefault="00A55278" w:rsidP="00A55278">
      <w:pPr>
        <w:tabs>
          <w:tab w:val="left" w:pos="1080"/>
          <w:tab w:val="left" w:pos="2160"/>
        </w:tabs>
        <w:spacing w:before="0"/>
        <w:jc w:val="center"/>
        <w:rPr>
          <w:b/>
          <w:sz w:val="56"/>
          <w:szCs w:val="56"/>
        </w:rPr>
      </w:pPr>
    </w:p>
    <w:p w:rsidR="00367AB7" w:rsidRDefault="00367AB7" w:rsidP="00A55278">
      <w:pPr>
        <w:tabs>
          <w:tab w:val="left" w:pos="1080"/>
          <w:tab w:val="left" w:pos="2160"/>
        </w:tabs>
        <w:spacing w:before="0"/>
        <w:jc w:val="center"/>
        <w:rPr>
          <w:b/>
          <w:sz w:val="56"/>
          <w:szCs w:val="56"/>
        </w:rPr>
      </w:pPr>
      <w:r>
        <w:rPr>
          <w:b/>
          <w:sz w:val="56"/>
          <w:szCs w:val="56"/>
        </w:rPr>
        <w:t>Government Furnished Property</w:t>
      </w:r>
    </w:p>
    <w:p w:rsidR="00367AB7" w:rsidRDefault="00367AB7" w:rsidP="00A55278">
      <w:pPr>
        <w:tabs>
          <w:tab w:val="left" w:pos="1080"/>
          <w:tab w:val="left" w:pos="2160"/>
        </w:tabs>
        <w:spacing w:before="0"/>
        <w:jc w:val="center"/>
        <w:rPr>
          <w:b/>
          <w:sz w:val="56"/>
          <w:szCs w:val="56"/>
        </w:rPr>
      </w:pPr>
    </w:p>
    <w:p w:rsidR="00A55278" w:rsidRDefault="00064381" w:rsidP="00A55278">
      <w:pPr>
        <w:tabs>
          <w:tab w:val="left" w:pos="1080"/>
          <w:tab w:val="left" w:pos="2160"/>
        </w:tabs>
        <w:spacing w:before="0"/>
        <w:jc w:val="center"/>
        <w:rPr>
          <w:b/>
          <w:sz w:val="56"/>
          <w:szCs w:val="56"/>
        </w:rPr>
      </w:pPr>
      <w:r>
        <w:rPr>
          <w:b/>
          <w:sz w:val="56"/>
          <w:szCs w:val="56"/>
        </w:rPr>
        <w:t>OPERATING</w:t>
      </w:r>
      <w:r w:rsidR="00A55278" w:rsidRPr="00E53720">
        <w:rPr>
          <w:b/>
          <w:sz w:val="56"/>
          <w:szCs w:val="56"/>
        </w:rPr>
        <w:t xml:space="preserve"> GUIDE</w:t>
      </w:r>
    </w:p>
    <w:p w:rsidR="00A55278" w:rsidRDefault="00A55278" w:rsidP="00A55278">
      <w:pPr>
        <w:tabs>
          <w:tab w:val="left" w:pos="1080"/>
          <w:tab w:val="left" w:pos="2160"/>
        </w:tabs>
        <w:spacing w:before="0"/>
        <w:jc w:val="center"/>
        <w:rPr>
          <w:b/>
          <w:sz w:val="56"/>
          <w:szCs w:val="56"/>
        </w:rPr>
      </w:pPr>
    </w:p>
    <w:p w:rsidR="00A55278" w:rsidRDefault="00A55278" w:rsidP="00A55278">
      <w:pPr>
        <w:tabs>
          <w:tab w:val="left" w:pos="1080"/>
          <w:tab w:val="left" w:pos="2160"/>
        </w:tabs>
        <w:spacing w:before="0"/>
        <w:jc w:val="center"/>
        <w:rPr>
          <w:b/>
          <w:sz w:val="56"/>
          <w:szCs w:val="56"/>
        </w:rPr>
      </w:pPr>
    </w:p>
    <w:p w:rsidR="00A55278" w:rsidRPr="00E53720" w:rsidRDefault="00E4659F" w:rsidP="00A55278">
      <w:pPr>
        <w:tabs>
          <w:tab w:val="left" w:pos="1080"/>
          <w:tab w:val="left" w:pos="2160"/>
        </w:tabs>
        <w:spacing w:before="0"/>
        <w:jc w:val="center"/>
        <w:rPr>
          <w:b/>
          <w:sz w:val="56"/>
          <w:szCs w:val="56"/>
        </w:rPr>
      </w:pPr>
      <w:r>
        <w:rPr>
          <w:b/>
          <w:noProof/>
          <w:sz w:val="56"/>
          <w:szCs w:val="56"/>
        </w:rPr>
        <w:drawing>
          <wp:inline distT="0" distB="0" distL="0" distR="0">
            <wp:extent cx="2832735" cy="2735580"/>
            <wp:effectExtent l="19050" t="0" r="5715" b="0"/>
            <wp:docPr id="2" name="Picture 2" descr="Department of Defens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Defense Seal"/>
                    <pic:cNvPicPr>
                      <a:picLocks noChangeAspect="1" noChangeArrowheads="1"/>
                    </pic:cNvPicPr>
                  </pic:nvPicPr>
                  <pic:blipFill>
                    <a:blip r:embed="rId9" cstate="print"/>
                    <a:srcRect/>
                    <a:stretch>
                      <a:fillRect/>
                    </a:stretch>
                  </pic:blipFill>
                  <pic:spPr bwMode="auto">
                    <a:xfrm>
                      <a:off x="0" y="0"/>
                      <a:ext cx="2832735" cy="2735580"/>
                    </a:xfrm>
                    <a:prstGeom prst="rect">
                      <a:avLst/>
                    </a:prstGeom>
                    <a:noFill/>
                    <a:ln w="9525">
                      <a:noFill/>
                      <a:miter lim="800000"/>
                      <a:headEnd/>
                      <a:tailEnd/>
                    </a:ln>
                    <a:effectLst/>
                  </pic:spPr>
                </pic:pic>
              </a:graphicData>
            </a:graphic>
          </wp:inline>
        </w:drawing>
      </w:r>
    </w:p>
    <w:p w:rsidR="00A55278" w:rsidRDefault="00A55278" w:rsidP="00A55278">
      <w:pPr>
        <w:spacing w:before="0"/>
        <w:rPr>
          <w:b/>
        </w:rPr>
      </w:pPr>
    </w:p>
    <w:p w:rsidR="00A55278" w:rsidRDefault="00A55278" w:rsidP="00A55278">
      <w:pPr>
        <w:spacing w:before="0"/>
        <w:rPr>
          <w:b/>
        </w:rPr>
      </w:pPr>
    </w:p>
    <w:p w:rsidR="00A55278" w:rsidRDefault="00A55278" w:rsidP="00A55278">
      <w:pPr>
        <w:spacing w:before="0"/>
        <w:rPr>
          <w:b/>
        </w:rPr>
      </w:pPr>
    </w:p>
    <w:p w:rsidR="00A55278" w:rsidRPr="00C47280" w:rsidRDefault="005261DC" w:rsidP="00A55278">
      <w:pPr>
        <w:tabs>
          <w:tab w:val="left" w:pos="1080"/>
          <w:tab w:val="left" w:pos="2160"/>
        </w:tabs>
        <w:spacing w:before="0"/>
        <w:jc w:val="center"/>
        <w:rPr>
          <w:b/>
          <w:sz w:val="32"/>
          <w:szCs w:val="32"/>
        </w:rPr>
      </w:pPr>
      <w:r>
        <w:rPr>
          <w:b/>
          <w:sz w:val="32"/>
          <w:szCs w:val="32"/>
        </w:rPr>
        <w:t>Ju</w:t>
      </w:r>
      <w:r w:rsidR="002D7091">
        <w:rPr>
          <w:b/>
          <w:sz w:val="32"/>
          <w:szCs w:val="32"/>
        </w:rPr>
        <w:t>ly</w:t>
      </w:r>
      <w:r w:rsidR="007E3692">
        <w:rPr>
          <w:b/>
          <w:sz w:val="32"/>
          <w:szCs w:val="32"/>
        </w:rPr>
        <w:t xml:space="preserve"> </w:t>
      </w:r>
      <w:r w:rsidR="00367AB7">
        <w:rPr>
          <w:b/>
          <w:sz w:val="32"/>
          <w:szCs w:val="32"/>
        </w:rPr>
        <w:t>2012</w:t>
      </w:r>
    </w:p>
    <w:p w:rsidR="00A55278" w:rsidRDefault="00A55278" w:rsidP="00A55278">
      <w:pPr>
        <w:pStyle w:val="Heading3"/>
      </w:pPr>
      <w:r>
        <w:rPr>
          <w:b w:val="0"/>
        </w:rPr>
        <w:br w:type="page"/>
      </w:r>
      <w:bookmarkStart w:id="1" w:name="_Toc327516028"/>
      <w:r>
        <w:lastRenderedPageBreak/>
        <w:t>SUMMARY OF CHANGES</w:t>
      </w:r>
      <w:bookmarkEnd w:id="1"/>
    </w:p>
    <w:p w:rsidR="00A55278" w:rsidRDefault="00A55278" w:rsidP="00A552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8280"/>
      </w:tblGrid>
      <w:tr w:rsidR="00A55278" w:rsidTr="00A55278">
        <w:trPr>
          <w:trHeight w:val="400"/>
        </w:trPr>
        <w:tc>
          <w:tcPr>
            <w:tcW w:w="1368" w:type="dxa"/>
            <w:tcBorders>
              <w:top w:val="single" w:sz="12" w:space="0" w:color="auto"/>
              <w:left w:val="single" w:sz="12" w:space="0" w:color="auto"/>
              <w:bottom w:val="single" w:sz="12" w:space="0" w:color="auto"/>
            </w:tcBorders>
            <w:shd w:val="clear" w:color="auto" w:fill="C0C0C0"/>
            <w:vAlign w:val="center"/>
          </w:tcPr>
          <w:p w:rsidR="00A55278" w:rsidRDefault="00A55278" w:rsidP="00A55278">
            <w:pPr>
              <w:pStyle w:val="Heading4"/>
              <w:keepNext w:val="0"/>
              <w:spacing w:after="120"/>
            </w:pPr>
            <w:r>
              <w:t>Date</w:t>
            </w:r>
          </w:p>
        </w:tc>
        <w:tc>
          <w:tcPr>
            <w:tcW w:w="8280" w:type="dxa"/>
            <w:tcBorders>
              <w:top w:val="single" w:sz="12" w:space="0" w:color="auto"/>
              <w:bottom w:val="single" w:sz="12" w:space="0" w:color="auto"/>
              <w:right w:val="single" w:sz="12" w:space="0" w:color="auto"/>
            </w:tcBorders>
            <w:shd w:val="clear" w:color="auto" w:fill="C0C0C0"/>
            <w:vAlign w:val="center"/>
          </w:tcPr>
          <w:p w:rsidR="00A55278" w:rsidRDefault="00A55278" w:rsidP="00A55278">
            <w:pPr>
              <w:pStyle w:val="Heading8"/>
              <w:spacing w:before="120" w:after="120"/>
            </w:pPr>
            <w:r>
              <w:t>Description</w:t>
            </w:r>
          </w:p>
        </w:tc>
      </w:tr>
      <w:tr w:rsidR="00A55278" w:rsidTr="00A55278">
        <w:trPr>
          <w:trHeight w:val="400"/>
        </w:trPr>
        <w:tc>
          <w:tcPr>
            <w:tcW w:w="1368" w:type="dxa"/>
            <w:tcBorders>
              <w:top w:val="nil"/>
              <w:left w:val="single" w:sz="12" w:space="0" w:color="auto"/>
            </w:tcBorders>
          </w:tcPr>
          <w:p w:rsidR="00A55278" w:rsidRDefault="00367AB7" w:rsidP="00A55278">
            <w:pPr>
              <w:spacing w:after="120"/>
              <w:jc w:val="center"/>
            </w:pPr>
            <w:r>
              <w:t>Feb 2012</w:t>
            </w:r>
          </w:p>
        </w:tc>
        <w:tc>
          <w:tcPr>
            <w:tcW w:w="8280" w:type="dxa"/>
            <w:tcBorders>
              <w:top w:val="nil"/>
              <w:right w:val="single" w:sz="12" w:space="0" w:color="auto"/>
            </w:tcBorders>
          </w:tcPr>
          <w:p w:rsidR="00A55278" w:rsidRDefault="00367AB7" w:rsidP="00A55278">
            <w:pPr>
              <w:pStyle w:val="Header"/>
              <w:tabs>
                <w:tab w:val="clear" w:pos="4320"/>
                <w:tab w:val="clear" w:pos="8640"/>
              </w:tabs>
              <w:spacing w:after="120"/>
            </w:pPr>
            <w:r>
              <w:t>Pre-coordination Draft</w:t>
            </w:r>
          </w:p>
        </w:tc>
      </w:tr>
      <w:tr w:rsidR="00A55278" w:rsidTr="00A55278">
        <w:trPr>
          <w:trHeight w:val="400"/>
        </w:trPr>
        <w:tc>
          <w:tcPr>
            <w:tcW w:w="1368" w:type="dxa"/>
            <w:tcBorders>
              <w:left w:val="single" w:sz="12" w:space="0" w:color="auto"/>
            </w:tcBorders>
          </w:tcPr>
          <w:p w:rsidR="00A55278" w:rsidRDefault="005261DC" w:rsidP="00A55278">
            <w:pPr>
              <w:spacing w:after="120"/>
              <w:jc w:val="center"/>
            </w:pPr>
            <w:r>
              <w:t>June 2012</w:t>
            </w:r>
          </w:p>
        </w:tc>
        <w:tc>
          <w:tcPr>
            <w:tcW w:w="8280" w:type="dxa"/>
            <w:tcBorders>
              <w:right w:val="single" w:sz="12" w:space="0" w:color="auto"/>
            </w:tcBorders>
          </w:tcPr>
          <w:p w:rsidR="00A55278" w:rsidRDefault="005261DC" w:rsidP="00A55278">
            <w:pPr>
              <w:spacing w:after="120"/>
            </w:pPr>
            <w:r>
              <w:t>Incorporated DPAP comments</w:t>
            </w:r>
          </w:p>
        </w:tc>
      </w:tr>
      <w:tr w:rsidR="00A55278" w:rsidTr="00A55278">
        <w:trPr>
          <w:trHeight w:val="400"/>
        </w:trPr>
        <w:tc>
          <w:tcPr>
            <w:tcW w:w="1368" w:type="dxa"/>
            <w:tcBorders>
              <w:left w:val="single" w:sz="12" w:space="0" w:color="auto"/>
            </w:tcBorders>
          </w:tcPr>
          <w:p w:rsidR="00A55278" w:rsidRDefault="00A55278" w:rsidP="00A55278">
            <w:pPr>
              <w:spacing w:after="120"/>
              <w:jc w:val="center"/>
            </w:pPr>
          </w:p>
        </w:tc>
        <w:tc>
          <w:tcPr>
            <w:tcW w:w="8280" w:type="dxa"/>
            <w:tcBorders>
              <w:right w:val="single" w:sz="12" w:space="0" w:color="auto"/>
            </w:tcBorders>
          </w:tcPr>
          <w:p w:rsidR="00A55278" w:rsidRDefault="00A55278" w:rsidP="00A55278">
            <w:pPr>
              <w:spacing w:after="120"/>
            </w:pPr>
          </w:p>
        </w:tc>
      </w:tr>
      <w:tr w:rsidR="00A55278" w:rsidTr="00A55278">
        <w:trPr>
          <w:trHeight w:val="400"/>
        </w:trPr>
        <w:tc>
          <w:tcPr>
            <w:tcW w:w="1368" w:type="dxa"/>
            <w:tcBorders>
              <w:left w:val="single" w:sz="12" w:space="0" w:color="auto"/>
            </w:tcBorders>
          </w:tcPr>
          <w:p w:rsidR="00A55278" w:rsidRDefault="00A55278" w:rsidP="00A55278">
            <w:pPr>
              <w:spacing w:after="120"/>
              <w:jc w:val="center"/>
            </w:pPr>
          </w:p>
        </w:tc>
        <w:tc>
          <w:tcPr>
            <w:tcW w:w="8280" w:type="dxa"/>
            <w:tcBorders>
              <w:right w:val="single" w:sz="12" w:space="0" w:color="auto"/>
            </w:tcBorders>
          </w:tcPr>
          <w:p w:rsidR="00A55278" w:rsidRDefault="00A55278" w:rsidP="00A55278">
            <w:pPr>
              <w:spacing w:after="120"/>
            </w:pPr>
          </w:p>
        </w:tc>
      </w:tr>
      <w:tr w:rsidR="00A55278" w:rsidTr="00A55278">
        <w:trPr>
          <w:trHeight w:val="400"/>
        </w:trPr>
        <w:tc>
          <w:tcPr>
            <w:tcW w:w="1368" w:type="dxa"/>
            <w:tcBorders>
              <w:left w:val="single" w:sz="12" w:space="0" w:color="auto"/>
            </w:tcBorders>
          </w:tcPr>
          <w:p w:rsidR="00A55278" w:rsidRDefault="00A55278" w:rsidP="00A55278">
            <w:pPr>
              <w:spacing w:after="120"/>
              <w:jc w:val="center"/>
            </w:pPr>
          </w:p>
        </w:tc>
        <w:tc>
          <w:tcPr>
            <w:tcW w:w="8280" w:type="dxa"/>
            <w:tcBorders>
              <w:right w:val="single" w:sz="12" w:space="0" w:color="auto"/>
            </w:tcBorders>
          </w:tcPr>
          <w:p w:rsidR="00A55278" w:rsidRDefault="00A55278" w:rsidP="00A55278">
            <w:pPr>
              <w:spacing w:after="120"/>
            </w:pPr>
          </w:p>
        </w:tc>
      </w:tr>
      <w:tr w:rsidR="00A55278" w:rsidTr="00A55278">
        <w:trPr>
          <w:trHeight w:val="400"/>
        </w:trPr>
        <w:tc>
          <w:tcPr>
            <w:tcW w:w="1368" w:type="dxa"/>
            <w:tcBorders>
              <w:left w:val="single" w:sz="12" w:space="0" w:color="auto"/>
            </w:tcBorders>
          </w:tcPr>
          <w:p w:rsidR="00A55278" w:rsidRDefault="00A55278" w:rsidP="00A55278">
            <w:pPr>
              <w:spacing w:after="120"/>
              <w:jc w:val="center"/>
            </w:pPr>
          </w:p>
        </w:tc>
        <w:tc>
          <w:tcPr>
            <w:tcW w:w="8280" w:type="dxa"/>
            <w:tcBorders>
              <w:right w:val="single" w:sz="12" w:space="0" w:color="auto"/>
            </w:tcBorders>
          </w:tcPr>
          <w:p w:rsidR="00A55278" w:rsidRDefault="00A55278" w:rsidP="00A55278">
            <w:pPr>
              <w:spacing w:after="120"/>
            </w:pPr>
          </w:p>
        </w:tc>
      </w:tr>
      <w:tr w:rsidR="00A55278" w:rsidTr="00A55278">
        <w:trPr>
          <w:trHeight w:val="400"/>
        </w:trPr>
        <w:tc>
          <w:tcPr>
            <w:tcW w:w="1368" w:type="dxa"/>
            <w:tcBorders>
              <w:left w:val="single" w:sz="12" w:space="0" w:color="auto"/>
            </w:tcBorders>
          </w:tcPr>
          <w:p w:rsidR="00A55278" w:rsidRDefault="00A55278" w:rsidP="00A55278">
            <w:pPr>
              <w:spacing w:after="120"/>
              <w:jc w:val="center"/>
            </w:pPr>
          </w:p>
        </w:tc>
        <w:tc>
          <w:tcPr>
            <w:tcW w:w="8280" w:type="dxa"/>
            <w:tcBorders>
              <w:right w:val="single" w:sz="12" w:space="0" w:color="auto"/>
            </w:tcBorders>
          </w:tcPr>
          <w:p w:rsidR="00A55278" w:rsidRDefault="00A55278" w:rsidP="00A55278">
            <w:pPr>
              <w:pStyle w:val="Header"/>
              <w:tabs>
                <w:tab w:val="clear" w:pos="4320"/>
                <w:tab w:val="clear" w:pos="8640"/>
              </w:tabs>
              <w:spacing w:after="120"/>
            </w:pPr>
          </w:p>
        </w:tc>
      </w:tr>
      <w:tr w:rsidR="00A55278" w:rsidTr="00A55278">
        <w:trPr>
          <w:trHeight w:val="400"/>
        </w:trPr>
        <w:tc>
          <w:tcPr>
            <w:tcW w:w="1368" w:type="dxa"/>
            <w:tcBorders>
              <w:left w:val="single" w:sz="12" w:space="0" w:color="auto"/>
            </w:tcBorders>
          </w:tcPr>
          <w:p w:rsidR="00A55278" w:rsidRDefault="00A55278" w:rsidP="00A55278">
            <w:pPr>
              <w:spacing w:after="120"/>
              <w:jc w:val="center"/>
            </w:pPr>
          </w:p>
        </w:tc>
        <w:tc>
          <w:tcPr>
            <w:tcW w:w="8280" w:type="dxa"/>
            <w:tcBorders>
              <w:right w:val="single" w:sz="12" w:space="0" w:color="auto"/>
            </w:tcBorders>
          </w:tcPr>
          <w:p w:rsidR="00A55278" w:rsidRDefault="00A55278" w:rsidP="00A55278">
            <w:pPr>
              <w:spacing w:after="120"/>
            </w:pPr>
          </w:p>
        </w:tc>
      </w:tr>
      <w:tr w:rsidR="00A55278" w:rsidTr="00A55278">
        <w:trPr>
          <w:trHeight w:val="400"/>
        </w:trPr>
        <w:tc>
          <w:tcPr>
            <w:tcW w:w="1368" w:type="dxa"/>
            <w:tcBorders>
              <w:left w:val="single" w:sz="12" w:space="0" w:color="auto"/>
            </w:tcBorders>
          </w:tcPr>
          <w:p w:rsidR="00A55278" w:rsidRDefault="00A55278" w:rsidP="00A55278">
            <w:pPr>
              <w:spacing w:after="120"/>
              <w:jc w:val="center"/>
            </w:pPr>
          </w:p>
        </w:tc>
        <w:tc>
          <w:tcPr>
            <w:tcW w:w="8280" w:type="dxa"/>
            <w:tcBorders>
              <w:right w:val="single" w:sz="12" w:space="0" w:color="auto"/>
            </w:tcBorders>
          </w:tcPr>
          <w:p w:rsidR="00A55278" w:rsidRDefault="00A55278" w:rsidP="00A55278">
            <w:pPr>
              <w:spacing w:after="120"/>
            </w:pPr>
          </w:p>
        </w:tc>
      </w:tr>
      <w:tr w:rsidR="00A55278" w:rsidTr="00A55278">
        <w:trPr>
          <w:trHeight w:val="400"/>
        </w:trPr>
        <w:tc>
          <w:tcPr>
            <w:tcW w:w="1368" w:type="dxa"/>
            <w:tcBorders>
              <w:left w:val="single" w:sz="12" w:space="0" w:color="auto"/>
            </w:tcBorders>
          </w:tcPr>
          <w:p w:rsidR="00A55278" w:rsidRDefault="00A55278" w:rsidP="00A55278">
            <w:pPr>
              <w:spacing w:after="120"/>
              <w:jc w:val="center"/>
            </w:pPr>
          </w:p>
        </w:tc>
        <w:tc>
          <w:tcPr>
            <w:tcW w:w="8280" w:type="dxa"/>
            <w:tcBorders>
              <w:right w:val="single" w:sz="12" w:space="0" w:color="auto"/>
            </w:tcBorders>
          </w:tcPr>
          <w:p w:rsidR="00A55278" w:rsidRDefault="00A55278" w:rsidP="00A55278">
            <w:pPr>
              <w:spacing w:after="120"/>
            </w:pPr>
          </w:p>
        </w:tc>
      </w:tr>
      <w:tr w:rsidR="00A55278" w:rsidTr="00A55278">
        <w:trPr>
          <w:trHeight w:val="400"/>
        </w:trPr>
        <w:tc>
          <w:tcPr>
            <w:tcW w:w="1368" w:type="dxa"/>
            <w:tcBorders>
              <w:left w:val="single" w:sz="12" w:space="0" w:color="auto"/>
            </w:tcBorders>
          </w:tcPr>
          <w:p w:rsidR="00A55278" w:rsidRDefault="00A55278" w:rsidP="00A55278">
            <w:pPr>
              <w:spacing w:after="120"/>
              <w:jc w:val="center"/>
            </w:pPr>
          </w:p>
        </w:tc>
        <w:tc>
          <w:tcPr>
            <w:tcW w:w="8280" w:type="dxa"/>
            <w:tcBorders>
              <w:right w:val="single" w:sz="12" w:space="0" w:color="auto"/>
            </w:tcBorders>
          </w:tcPr>
          <w:p w:rsidR="00A55278" w:rsidRDefault="00A55278" w:rsidP="00A55278">
            <w:pPr>
              <w:spacing w:after="120"/>
            </w:pPr>
          </w:p>
        </w:tc>
      </w:tr>
      <w:tr w:rsidR="00A55278" w:rsidTr="00A55278">
        <w:trPr>
          <w:trHeight w:val="400"/>
        </w:trPr>
        <w:tc>
          <w:tcPr>
            <w:tcW w:w="1368" w:type="dxa"/>
            <w:tcBorders>
              <w:left w:val="single" w:sz="12" w:space="0" w:color="auto"/>
            </w:tcBorders>
          </w:tcPr>
          <w:p w:rsidR="00A55278" w:rsidRDefault="00A55278" w:rsidP="00A55278">
            <w:pPr>
              <w:spacing w:after="120"/>
              <w:jc w:val="center"/>
            </w:pPr>
          </w:p>
        </w:tc>
        <w:tc>
          <w:tcPr>
            <w:tcW w:w="8280" w:type="dxa"/>
            <w:tcBorders>
              <w:right w:val="single" w:sz="12" w:space="0" w:color="auto"/>
            </w:tcBorders>
          </w:tcPr>
          <w:p w:rsidR="00A55278" w:rsidRDefault="00A55278" w:rsidP="00A55278">
            <w:pPr>
              <w:spacing w:after="120"/>
            </w:pPr>
          </w:p>
        </w:tc>
      </w:tr>
      <w:tr w:rsidR="00A55278" w:rsidTr="00A55278">
        <w:trPr>
          <w:trHeight w:val="400"/>
        </w:trPr>
        <w:tc>
          <w:tcPr>
            <w:tcW w:w="1368" w:type="dxa"/>
            <w:tcBorders>
              <w:left w:val="single" w:sz="12" w:space="0" w:color="auto"/>
            </w:tcBorders>
          </w:tcPr>
          <w:p w:rsidR="00A55278" w:rsidRDefault="00A55278" w:rsidP="00A55278">
            <w:pPr>
              <w:spacing w:after="120"/>
              <w:jc w:val="center"/>
            </w:pPr>
          </w:p>
        </w:tc>
        <w:tc>
          <w:tcPr>
            <w:tcW w:w="8280" w:type="dxa"/>
            <w:tcBorders>
              <w:right w:val="single" w:sz="12" w:space="0" w:color="auto"/>
            </w:tcBorders>
          </w:tcPr>
          <w:p w:rsidR="00A55278" w:rsidRDefault="00A55278" w:rsidP="00A55278">
            <w:pPr>
              <w:spacing w:after="120"/>
            </w:pPr>
          </w:p>
        </w:tc>
      </w:tr>
      <w:tr w:rsidR="00A55278" w:rsidTr="00A55278">
        <w:trPr>
          <w:trHeight w:val="400"/>
        </w:trPr>
        <w:tc>
          <w:tcPr>
            <w:tcW w:w="1368" w:type="dxa"/>
            <w:tcBorders>
              <w:left w:val="single" w:sz="12" w:space="0" w:color="auto"/>
            </w:tcBorders>
          </w:tcPr>
          <w:p w:rsidR="00A55278" w:rsidRDefault="00A55278" w:rsidP="00A55278">
            <w:pPr>
              <w:spacing w:after="120"/>
              <w:jc w:val="center"/>
            </w:pPr>
          </w:p>
        </w:tc>
        <w:tc>
          <w:tcPr>
            <w:tcW w:w="8280" w:type="dxa"/>
            <w:tcBorders>
              <w:right w:val="single" w:sz="12" w:space="0" w:color="auto"/>
            </w:tcBorders>
          </w:tcPr>
          <w:p w:rsidR="00A55278" w:rsidRDefault="00A55278" w:rsidP="00A55278">
            <w:pPr>
              <w:spacing w:after="120"/>
            </w:pPr>
          </w:p>
        </w:tc>
      </w:tr>
      <w:tr w:rsidR="00A55278" w:rsidTr="00A55278">
        <w:trPr>
          <w:trHeight w:val="400"/>
        </w:trPr>
        <w:tc>
          <w:tcPr>
            <w:tcW w:w="1368" w:type="dxa"/>
            <w:tcBorders>
              <w:left w:val="single" w:sz="12" w:space="0" w:color="auto"/>
              <w:bottom w:val="single" w:sz="12" w:space="0" w:color="auto"/>
            </w:tcBorders>
          </w:tcPr>
          <w:p w:rsidR="00A55278" w:rsidRDefault="00A55278" w:rsidP="00A55278">
            <w:pPr>
              <w:spacing w:after="120"/>
              <w:jc w:val="center"/>
            </w:pPr>
          </w:p>
        </w:tc>
        <w:tc>
          <w:tcPr>
            <w:tcW w:w="8280" w:type="dxa"/>
            <w:tcBorders>
              <w:bottom w:val="single" w:sz="12" w:space="0" w:color="auto"/>
              <w:right w:val="single" w:sz="12" w:space="0" w:color="auto"/>
            </w:tcBorders>
          </w:tcPr>
          <w:p w:rsidR="00A55278" w:rsidRDefault="00A55278" w:rsidP="00A55278">
            <w:pPr>
              <w:spacing w:after="120"/>
            </w:pPr>
          </w:p>
        </w:tc>
      </w:tr>
    </w:tbl>
    <w:p w:rsidR="00A55278" w:rsidRDefault="00A55278" w:rsidP="00A55278"/>
    <w:p w:rsidR="00A55278" w:rsidRDefault="00A55278" w:rsidP="00A55278">
      <w:pPr>
        <w:spacing w:before="0"/>
        <w:rPr>
          <w:b/>
          <w:noProof/>
        </w:rPr>
        <w:sectPr w:rsidR="00A55278" w:rsidSect="00A55278">
          <w:footerReference w:type="even" r:id="rId10"/>
          <w:footerReference w:type="default" r:id="rId11"/>
          <w:pgSz w:w="12240" w:h="15840"/>
          <w:pgMar w:top="1440" w:right="1152" w:bottom="1440" w:left="1152" w:header="720" w:footer="720" w:gutter="0"/>
          <w:pgNumType w:start="1"/>
          <w:cols w:space="720"/>
          <w:titlePg/>
          <w:docGrid w:linePitch="360"/>
        </w:sectPr>
      </w:pPr>
    </w:p>
    <w:sdt>
      <w:sdtPr>
        <w:rPr>
          <w:rFonts w:ascii="Times New Roman" w:eastAsia="Times New Roman" w:hAnsi="Times New Roman" w:cs="Times New Roman"/>
          <w:b w:val="0"/>
          <w:bCs w:val="0"/>
          <w:color w:val="auto"/>
          <w:sz w:val="24"/>
          <w:szCs w:val="20"/>
        </w:rPr>
        <w:id w:val="36000649"/>
        <w:docPartObj>
          <w:docPartGallery w:val="Table of Contents"/>
          <w:docPartUnique/>
        </w:docPartObj>
      </w:sdtPr>
      <w:sdtEndPr/>
      <w:sdtContent>
        <w:p w:rsidR="008F0AA8" w:rsidRDefault="008F0AA8">
          <w:pPr>
            <w:pStyle w:val="TOCHeading"/>
          </w:pPr>
          <w:r>
            <w:t>Table of Contents</w:t>
          </w:r>
        </w:p>
        <w:p w:rsidR="00A2433B" w:rsidRDefault="00B65468">
          <w:pPr>
            <w:pStyle w:val="TOC3"/>
            <w:tabs>
              <w:tab w:val="right" w:leader="dot" w:pos="9350"/>
            </w:tabs>
            <w:rPr>
              <w:rFonts w:asciiTheme="minorHAnsi" w:eastAsiaTheme="minorEastAsia" w:hAnsiTheme="minorHAnsi" w:cstheme="minorBidi"/>
              <w:noProof/>
              <w:sz w:val="22"/>
              <w:szCs w:val="22"/>
            </w:rPr>
          </w:pPr>
          <w:r>
            <w:fldChar w:fldCharType="begin"/>
          </w:r>
          <w:r w:rsidR="008F0AA8">
            <w:instrText xml:space="preserve"> TOC \o "1-3" \h \z \u </w:instrText>
          </w:r>
          <w:r>
            <w:fldChar w:fldCharType="separate"/>
          </w:r>
          <w:hyperlink w:anchor="_Toc327516028" w:history="1">
            <w:r w:rsidR="00A2433B" w:rsidRPr="0068397F">
              <w:rPr>
                <w:rStyle w:val="Hyperlink"/>
                <w:noProof/>
              </w:rPr>
              <w:t>SUMMARY OF CHANGES</w:t>
            </w:r>
            <w:r w:rsidR="00A2433B">
              <w:rPr>
                <w:noProof/>
                <w:webHidden/>
              </w:rPr>
              <w:tab/>
            </w:r>
            <w:r>
              <w:rPr>
                <w:noProof/>
                <w:webHidden/>
              </w:rPr>
              <w:fldChar w:fldCharType="begin"/>
            </w:r>
            <w:r w:rsidR="00A2433B">
              <w:rPr>
                <w:noProof/>
                <w:webHidden/>
              </w:rPr>
              <w:instrText xml:space="preserve"> PAGEREF _Toc327516028 \h </w:instrText>
            </w:r>
            <w:r>
              <w:rPr>
                <w:noProof/>
                <w:webHidden/>
              </w:rPr>
            </w:r>
            <w:r>
              <w:rPr>
                <w:noProof/>
                <w:webHidden/>
              </w:rPr>
              <w:fldChar w:fldCharType="separate"/>
            </w:r>
            <w:r w:rsidR="00A2433B">
              <w:rPr>
                <w:noProof/>
                <w:webHidden/>
              </w:rPr>
              <w:t>2</w:t>
            </w:r>
            <w:r>
              <w:rPr>
                <w:noProof/>
                <w:webHidden/>
              </w:rPr>
              <w:fldChar w:fldCharType="end"/>
            </w:r>
          </w:hyperlink>
        </w:p>
        <w:p w:rsidR="00A2433B" w:rsidRDefault="00DE56EA">
          <w:pPr>
            <w:pStyle w:val="TOC1"/>
            <w:tabs>
              <w:tab w:val="right" w:leader="dot" w:pos="9350"/>
            </w:tabs>
            <w:rPr>
              <w:rFonts w:asciiTheme="minorHAnsi" w:eastAsiaTheme="minorEastAsia" w:hAnsiTheme="minorHAnsi" w:cstheme="minorBidi"/>
              <w:noProof/>
              <w:sz w:val="22"/>
              <w:szCs w:val="22"/>
            </w:rPr>
          </w:pPr>
          <w:hyperlink w:anchor="_Toc327516029" w:history="1">
            <w:r w:rsidR="00A2433B" w:rsidRPr="0068397F">
              <w:rPr>
                <w:rStyle w:val="Hyperlink"/>
                <w:noProof/>
              </w:rPr>
              <w:t>1.0  GOVERNMENT FURNISHED PROPERTY OPERATIONS</w:t>
            </w:r>
            <w:r w:rsidR="00A2433B">
              <w:rPr>
                <w:noProof/>
                <w:webHidden/>
              </w:rPr>
              <w:tab/>
            </w:r>
            <w:r w:rsidR="00B65468">
              <w:rPr>
                <w:noProof/>
                <w:webHidden/>
              </w:rPr>
              <w:fldChar w:fldCharType="begin"/>
            </w:r>
            <w:r w:rsidR="00A2433B">
              <w:rPr>
                <w:noProof/>
                <w:webHidden/>
              </w:rPr>
              <w:instrText xml:space="preserve"> PAGEREF _Toc327516029 \h </w:instrText>
            </w:r>
            <w:r w:rsidR="00B65468">
              <w:rPr>
                <w:noProof/>
                <w:webHidden/>
              </w:rPr>
            </w:r>
            <w:r w:rsidR="00B65468">
              <w:rPr>
                <w:noProof/>
                <w:webHidden/>
              </w:rPr>
              <w:fldChar w:fldCharType="separate"/>
            </w:r>
            <w:r w:rsidR="00A2433B">
              <w:rPr>
                <w:noProof/>
                <w:webHidden/>
              </w:rPr>
              <w:t>6</w:t>
            </w:r>
            <w:r w:rsidR="00B65468">
              <w:rPr>
                <w:noProof/>
                <w:webHidden/>
              </w:rPr>
              <w:fldChar w:fldCharType="end"/>
            </w:r>
          </w:hyperlink>
        </w:p>
        <w:p w:rsidR="00A2433B" w:rsidRDefault="00DE56EA">
          <w:pPr>
            <w:pStyle w:val="TOC2"/>
            <w:tabs>
              <w:tab w:val="right" w:leader="dot" w:pos="9350"/>
            </w:tabs>
            <w:rPr>
              <w:rFonts w:asciiTheme="minorHAnsi" w:eastAsiaTheme="minorEastAsia" w:hAnsiTheme="minorHAnsi" w:cstheme="minorBidi"/>
              <w:noProof/>
              <w:sz w:val="22"/>
              <w:szCs w:val="22"/>
            </w:rPr>
          </w:pPr>
          <w:hyperlink w:anchor="_Toc327516030" w:history="1">
            <w:r w:rsidR="00A2433B" w:rsidRPr="0068397F">
              <w:rPr>
                <w:rStyle w:val="Hyperlink"/>
                <w:noProof/>
              </w:rPr>
              <w:t>1.1    SCOPE/OVERVIEW.</w:t>
            </w:r>
            <w:r w:rsidR="00A2433B">
              <w:rPr>
                <w:noProof/>
                <w:webHidden/>
              </w:rPr>
              <w:tab/>
            </w:r>
            <w:r w:rsidR="00B65468">
              <w:rPr>
                <w:noProof/>
                <w:webHidden/>
              </w:rPr>
              <w:fldChar w:fldCharType="begin"/>
            </w:r>
            <w:r w:rsidR="00A2433B">
              <w:rPr>
                <w:noProof/>
                <w:webHidden/>
              </w:rPr>
              <w:instrText xml:space="preserve"> PAGEREF _Toc327516030 \h </w:instrText>
            </w:r>
            <w:r w:rsidR="00B65468">
              <w:rPr>
                <w:noProof/>
                <w:webHidden/>
              </w:rPr>
            </w:r>
            <w:r w:rsidR="00B65468">
              <w:rPr>
                <w:noProof/>
                <w:webHidden/>
              </w:rPr>
              <w:fldChar w:fldCharType="separate"/>
            </w:r>
            <w:r w:rsidR="00A2433B">
              <w:rPr>
                <w:noProof/>
                <w:webHidden/>
              </w:rPr>
              <w:t>6</w:t>
            </w:r>
            <w:r w:rsidR="00B65468">
              <w:rPr>
                <w:noProof/>
                <w:webHidden/>
              </w:rPr>
              <w:fldChar w:fldCharType="end"/>
            </w:r>
          </w:hyperlink>
        </w:p>
        <w:p w:rsidR="00A2433B" w:rsidRDefault="00DE56EA">
          <w:pPr>
            <w:pStyle w:val="TOC2"/>
            <w:tabs>
              <w:tab w:val="right" w:leader="dot" w:pos="9350"/>
            </w:tabs>
            <w:rPr>
              <w:rFonts w:asciiTheme="minorHAnsi" w:eastAsiaTheme="minorEastAsia" w:hAnsiTheme="minorHAnsi" w:cstheme="minorBidi"/>
              <w:noProof/>
              <w:sz w:val="22"/>
              <w:szCs w:val="22"/>
            </w:rPr>
          </w:pPr>
          <w:hyperlink w:anchor="_Toc327516031" w:history="1">
            <w:r w:rsidR="00A2433B" w:rsidRPr="0068397F">
              <w:rPr>
                <w:rStyle w:val="Hyperlink"/>
                <w:noProof/>
              </w:rPr>
              <w:t>1.2.   REGULATORY REQUIREMENTS</w:t>
            </w:r>
            <w:r w:rsidR="00A2433B">
              <w:rPr>
                <w:noProof/>
                <w:webHidden/>
              </w:rPr>
              <w:tab/>
            </w:r>
            <w:r w:rsidR="00B65468">
              <w:rPr>
                <w:noProof/>
                <w:webHidden/>
              </w:rPr>
              <w:fldChar w:fldCharType="begin"/>
            </w:r>
            <w:r w:rsidR="00A2433B">
              <w:rPr>
                <w:noProof/>
                <w:webHidden/>
              </w:rPr>
              <w:instrText xml:space="preserve"> PAGEREF _Toc327516031 \h </w:instrText>
            </w:r>
            <w:r w:rsidR="00B65468">
              <w:rPr>
                <w:noProof/>
                <w:webHidden/>
              </w:rPr>
            </w:r>
            <w:r w:rsidR="00B65468">
              <w:rPr>
                <w:noProof/>
                <w:webHidden/>
              </w:rPr>
              <w:fldChar w:fldCharType="separate"/>
            </w:r>
            <w:r w:rsidR="00A2433B">
              <w:rPr>
                <w:noProof/>
                <w:webHidden/>
              </w:rPr>
              <w:t>6</w:t>
            </w:r>
            <w:r w:rsidR="00B65468">
              <w:rPr>
                <w:noProof/>
                <w:webHidden/>
              </w:rPr>
              <w:fldChar w:fldCharType="end"/>
            </w:r>
          </w:hyperlink>
        </w:p>
        <w:p w:rsidR="00A2433B" w:rsidRDefault="00DE56EA">
          <w:pPr>
            <w:pStyle w:val="TOC2"/>
            <w:tabs>
              <w:tab w:val="right" w:leader="dot" w:pos="9350"/>
            </w:tabs>
            <w:rPr>
              <w:rFonts w:asciiTheme="minorHAnsi" w:eastAsiaTheme="minorEastAsia" w:hAnsiTheme="minorHAnsi" w:cstheme="minorBidi"/>
              <w:noProof/>
              <w:sz w:val="22"/>
              <w:szCs w:val="22"/>
            </w:rPr>
          </w:pPr>
          <w:hyperlink w:anchor="_Toc327516032" w:history="1">
            <w:r w:rsidR="00A2433B" w:rsidRPr="0068397F">
              <w:rPr>
                <w:rStyle w:val="Hyperlink"/>
                <w:noProof/>
              </w:rPr>
              <w:t>1.3.   ENTERPRISE TOOLS</w:t>
            </w:r>
            <w:r w:rsidR="00A2433B">
              <w:rPr>
                <w:noProof/>
                <w:webHidden/>
              </w:rPr>
              <w:tab/>
            </w:r>
            <w:r w:rsidR="00B65468">
              <w:rPr>
                <w:noProof/>
                <w:webHidden/>
              </w:rPr>
              <w:fldChar w:fldCharType="begin"/>
            </w:r>
            <w:r w:rsidR="00A2433B">
              <w:rPr>
                <w:noProof/>
                <w:webHidden/>
              </w:rPr>
              <w:instrText xml:space="preserve"> PAGEREF _Toc327516032 \h </w:instrText>
            </w:r>
            <w:r w:rsidR="00B65468">
              <w:rPr>
                <w:noProof/>
                <w:webHidden/>
              </w:rPr>
            </w:r>
            <w:r w:rsidR="00B65468">
              <w:rPr>
                <w:noProof/>
                <w:webHidden/>
              </w:rPr>
              <w:fldChar w:fldCharType="separate"/>
            </w:r>
            <w:r w:rsidR="00A2433B">
              <w:rPr>
                <w:noProof/>
                <w:webHidden/>
              </w:rPr>
              <w:t>7</w:t>
            </w:r>
            <w:r w:rsidR="00B65468">
              <w:rPr>
                <w:noProof/>
                <w:webHidden/>
              </w:rPr>
              <w:fldChar w:fldCharType="end"/>
            </w:r>
          </w:hyperlink>
        </w:p>
        <w:p w:rsidR="00A2433B" w:rsidRDefault="00DE56EA">
          <w:pPr>
            <w:pStyle w:val="TOC3"/>
            <w:tabs>
              <w:tab w:val="right" w:leader="dot" w:pos="9350"/>
            </w:tabs>
            <w:rPr>
              <w:rFonts w:asciiTheme="minorHAnsi" w:eastAsiaTheme="minorEastAsia" w:hAnsiTheme="minorHAnsi" w:cstheme="minorBidi"/>
              <w:noProof/>
              <w:sz w:val="22"/>
              <w:szCs w:val="22"/>
            </w:rPr>
          </w:pPr>
          <w:hyperlink w:anchor="_Toc327516033" w:history="1">
            <w:r w:rsidR="00A2433B" w:rsidRPr="0068397F">
              <w:rPr>
                <w:rStyle w:val="Hyperlink"/>
                <w:bCs/>
                <w:noProof/>
              </w:rPr>
              <w:t>1.3.1 Wide Area Workflow</w:t>
            </w:r>
            <w:r w:rsidR="00A2433B">
              <w:rPr>
                <w:noProof/>
                <w:webHidden/>
              </w:rPr>
              <w:tab/>
            </w:r>
            <w:r w:rsidR="00B65468">
              <w:rPr>
                <w:noProof/>
                <w:webHidden/>
              </w:rPr>
              <w:fldChar w:fldCharType="begin"/>
            </w:r>
            <w:r w:rsidR="00A2433B">
              <w:rPr>
                <w:noProof/>
                <w:webHidden/>
              </w:rPr>
              <w:instrText xml:space="preserve"> PAGEREF _Toc327516033 \h </w:instrText>
            </w:r>
            <w:r w:rsidR="00B65468">
              <w:rPr>
                <w:noProof/>
                <w:webHidden/>
              </w:rPr>
            </w:r>
            <w:r w:rsidR="00B65468">
              <w:rPr>
                <w:noProof/>
                <w:webHidden/>
              </w:rPr>
              <w:fldChar w:fldCharType="separate"/>
            </w:r>
            <w:r w:rsidR="00A2433B">
              <w:rPr>
                <w:noProof/>
                <w:webHidden/>
              </w:rPr>
              <w:t>7</w:t>
            </w:r>
            <w:r w:rsidR="00B65468">
              <w:rPr>
                <w:noProof/>
                <w:webHidden/>
              </w:rPr>
              <w:fldChar w:fldCharType="end"/>
            </w:r>
          </w:hyperlink>
        </w:p>
        <w:p w:rsidR="00A2433B" w:rsidRDefault="00DE56EA">
          <w:pPr>
            <w:pStyle w:val="TOC3"/>
            <w:tabs>
              <w:tab w:val="right" w:leader="dot" w:pos="9350"/>
            </w:tabs>
            <w:rPr>
              <w:rFonts w:asciiTheme="minorHAnsi" w:eastAsiaTheme="minorEastAsia" w:hAnsiTheme="minorHAnsi" w:cstheme="minorBidi"/>
              <w:noProof/>
              <w:sz w:val="22"/>
              <w:szCs w:val="22"/>
            </w:rPr>
          </w:pPr>
          <w:hyperlink w:anchor="_Toc327516034" w:history="1">
            <w:r w:rsidR="00A2433B" w:rsidRPr="0068397F">
              <w:rPr>
                <w:rStyle w:val="Hyperlink"/>
                <w:bCs/>
                <w:noProof/>
              </w:rPr>
              <w:t>1.3.2 Global Exchange Services (GEX)</w:t>
            </w:r>
            <w:r w:rsidR="00A2433B">
              <w:rPr>
                <w:noProof/>
                <w:webHidden/>
              </w:rPr>
              <w:tab/>
            </w:r>
            <w:r w:rsidR="00B65468">
              <w:rPr>
                <w:noProof/>
                <w:webHidden/>
              </w:rPr>
              <w:fldChar w:fldCharType="begin"/>
            </w:r>
            <w:r w:rsidR="00A2433B">
              <w:rPr>
                <w:noProof/>
                <w:webHidden/>
              </w:rPr>
              <w:instrText xml:space="preserve"> PAGEREF _Toc327516034 \h </w:instrText>
            </w:r>
            <w:r w:rsidR="00B65468">
              <w:rPr>
                <w:noProof/>
                <w:webHidden/>
              </w:rPr>
            </w:r>
            <w:r w:rsidR="00B65468">
              <w:rPr>
                <w:noProof/>
                <w:webHidden/>
              </w:rPr>
              <w:fldChar w:fldCharType="separate"/>
            </w:r>
            <w:r w:rsidR="00A2433B">
              <w:rPr>
                <w:noProof/>
                <w:webHidden/>
              </w:rPr>
              <w:t>8</w:t>
            </w:r>
            <w:r w:rsidR="00B65468">
              <w:rPr>
                <w:noProof/>
                <w:webHidden/>
              </w:rPr>
              <w:fldChar w:fldCharType="end"/>
            </w:r>
          </w:hyperlink>
        </w:p>
        <w:p w:rsidR="00A2433B" w:rsidRDefault="00DE56EA">
          <w:pPr>
            <w:pStyle w:val="TOC3"/>
            <w:tabs>
              <w:tab w:val="right" w:leader="dot" w:pos="9350"/>
            </w:tabs>
            <w:rPr>
              <w:rFonts w:asciiTheme="minorHAnsi" w:eastAsiaTheme="minorEastAsia" w:hAnsiTheme="minorHAnsi" w:cstheme="minorBidi"/>
              <w:noProof/>
              <w:sz w:val="22"/>
              <w:szCs w:val="22"/>
            </w:rPr>
          </w:pPr>
          <w:hyperlink w:anchor="_Toc327516035" w:history="1">
            <w:r w:rsidR="00A2433B" w:rsidRPr="0068397F">
              <w:rPr>
                <w:rStyle w:val="Hyperlink"/>
                <w:bCs/>
                <w:noProof/>
              </w:rPr>
              <w:t>1.3.3 Defense Logistics Management System</w:t>
            </w:r>
            <w:r w:rsidR="00A2433B">
              <w:rPr>
                <w:noProof/>
                <w:webHidden/>
              </w:rPr>
              <w:tab/>
            </w:r>
            <w:r w:rsidR="00B65468">
              <w:rPr>
                <w:noProof/>
                <w:webHidden/>
              </w:rPr>
              <w:fldChar w:fldCharType="begin"/>
            </w:r>
            <w:r w:rsidR="00A2433B">
              <w:rPr>
                <w:noProof/>
                <w:webHidden/>
              </w:rPr>
              <w:instrText xml:space="preserve"> PAGEREF _Toc327516035 \h </w:instrText>
            </w:r>
            <w:r w:rsidR="00B65468">
              <w:rPr>
                <w:noProof/>
                <w:webHidden/>
              </w:rPr>
            </w:r>
            <w:r w:rsidR="00B65468">
              <w:rPr>
                <w:noProof/>
                <w:webHidden/>
              </w:rPr>
              <w:fldChar w:fldCharType="separate"/>
            </w:r>
            <w:r w:rsidR="00A2433B">
              <w:rPr>
                <w:noProof/>
                <w:webHidden/>
              </w:rPr>
              <w:t>8</w:t>
            </w:r>
            <w:r w:rsidR="00B65468">
              <w:rPr>
                <w:noProof/>
                <w:webHidden/>
              </w:rPr>
              <w:fldChar w:fldCharType="end"/>
            </w:r>
          </w:hyperlink>
        </w:p>
        <w:p w:rsidR="00A2433B" w:rsidRDefault="00DE56EA">
          <w:pPr>
            <w:pStyle w:val="TOC3"/>
            <w:tabs>
              <w:tab w:val="right" w:leader="dot" w:pos="9350"/>
            </w:tabs>
            <w:rPr>
              <w:rFonts w:asciiTheme="minorHAnsi" w:eastAsiaTheme="minorEastAsia" w:hAnsiTheme="minorHAnsi" w:cstheme="minorBidi"/>
              <w:noProof/>
              <w:sz w:val="22"/>
              <w:szCs w:val="22"/>
            </w:rPr>
          </w:pPr>
          <w:hyperlink w:anchor="_Toc327516036" w:history="1">
            <w:r w:rsidR="00A2433B" w:rsidRPr="0068397F">
              <w:rPr>
                <w:rStyle w:val="Hyperlink"/>
                <w:bCs/>
                <w:noProof/>
              </w:rPr>
              <w:t>1.3.4 Item Unique Identification Registry</w:t>
            </w:r>
            <w:r w:rsidR="00A2433B">
              <w:rPr>
                <w:noProof/>
                <w:webHidden/>
              </w:rPr>
              <w:tab/>
            </w:r>
            <w:r w:rsidR="00B65468">
              <w:rPr>
                <w:noProof/>
                <w:webHidden/>
              </w:rPr>
              <w:fldChar w:fldCharType="begin"/>
            </w:r>
            <w:r w:rsidR="00A2433B">
              <w:rPr>
                <w:noProof/>
                <w:webHidden/>
              </w:rPr>
              <w:instrText xml:space="preserve"> PAGEREF _Toc327516036 \h </w:instrText>
            </w:r>
            <w:r w:rsidR="00B65468">
              <w:rPr>
                <w:noProof/>
                <w:webHidden/>
              </w:rPr>
            </w:r>
            <w:r w:rsidR="00B65468">
              <w:rPr>
                <w:noProof/>
                <w:webHidden/>
              </w:rPr>
              <w:fldChar w:fldCharType="separate"/>
            </w:r>
            <w:r w:rsidR="00A2433B">
              <w:rPr>
                <w:noProof/>
                <w:webHidden/>
              </w:rPr>
              <w:t>8</w:t>
            </w:r>
            <w:r w:rsidR="00B65468">
              <w:rPr>
                <w:noProof/>
                <w:webHidden/>
              </w:rPr>
              <w:fldChar w:fldCharType="end"/>
            </w:r>
          </w:hyperlink>
        </w:p>
        <w:p w:rsidR="00A2433B" w:rsidRDefault="00DE56EA">
          <w:pPr>
            <w:pStyle w:val="TOC3"/>
            <w:tabs>
              <w:tab w:val="right" w:leader="dot" w:pos="9350"/>
            </w:tabs>
            <w:rPr>
              <w:rFonts w:asciiTheme="minorHAnsi" w:eastAsiaTheme="minorEastAsia" w:hAnsiTheme="minorHAnsi" w:cstheme="minorBidi"/>
              <w:noProof/>
              <w:sz w:val="22"/>
              <w:szCs w:val="22"/>
            </w:rPr>
          </w:pPr>
          <w:hyperlink w:anchor="_Toc327516037" w:history="1">
            <w:r w:rsidR="00A2433B" w:rsidRPr="0068397F">
              <w:rPr>
                <w:rStyle w:val="Hyperlink"/>
                <w:bCs/>
                <w:noProof/>
              </w:rPr>
              <w:t>1.3.6 Electronic Document Access</w:t>
            </w:r>
            <w:r w:rsidR="00A2433B">
              <w:rPr>
                <w:noProof/>
                <w:webHidden/>
              </w:rPr>
              <w:tab/>
            </w:r>
            <w:r w:rsidR="00B65468">
              <w:rPr>
                <w:noProof/>
                <w:webHidden/>
              </w:rPr>
              <w:fldChar w:fldCharType="begin"/>
            </w:r>
            <w:r w:rsidR="00A2433B">
              <w:rPr>
                <w:noProof/>
                <w:webHidden/>
              </w:rPr>
              <w:instrText xml:space="preserve"> PAGEREF _Toc327516037 \h </w:instrText>
            </w:r>
            <w:r w:rsidR="00B65468">
              <w:rPr>
                <w:noProof/>
                <w:webHidden/>
              </w:rPr>
            </w:r>
            <w:r w:rsidR="00B65468">
              <w:rPr>
                <w:noProof/>
                <w:webHidden/>
              </w:rPr>
              <w:fldChar w:fldCharType="separate"/>
            </w:r>
            <w:r w:rsidR="00A2433B">
              <w:rPr>
                <w:noProof/>
                <w:webHidden/>
              </w:rPr>
              <w:t>9</w:t>
            </w:r>
            <w:r w:rsidR="00B65468">
              <w:rPr>
                <w:noProof/>
                <w:webHidden/>
              </w:rPr>
              <w:fldChar w:fldCharType="end"/>
            </w:r>
          </w:hyperlink>
        </w:p>
        <w:p w:rsidR="00A2433B" w:rsidRDefault="00DE56EA">
          <w:pPr>
            <w:pStyle w:val="TOC3"/>
            <w:tabs>
              <w:tab w:val="right" w:leader="dot" w:pos="9350"/>
            </w:tabs>
            <w:rPr>
              <w:rFonts w:asciiTheme="minorHAnsi" w:eastAsiaTheme="minorEastAsia" w:hAnsiTheme="minorHAnsi" w:cstheme="minorBidi"/>
              <w:noProof/>
              <w:sz w:val="22"/>
              <w:szCs w:val="22"/>
            </w:rPr>
          </w:pPr>
          <w:hyperlink w:anchor="_Toc327516038" w:history="1">
            <w:r w:rsidR="00A2433B" w:rsidRPr="0068397F">
              <w:rPr>
                <w:rStyle w:val="Hyperlink"/>
                <w:bCs/>
                <w:noProof/>
              </w:rPr>
              <w:t>1.3.5 Plant Clearance Automated Reutilization Screening System</w:t>
            </w:r>
            <w:r w:rsidR="00A2433B">
              <w:rPr>
                <w:noProof/>
                <w:webHidden/>
              </w:rPr>
              <w:tab/>
            </w:r>
            <w:r w:rsidR="00B65468">
              <w:rPr>
                <w:noProof/>
                <w:webHidden/>
              </w:rPr>
              <w:fldChar w:fldCharType="begin"/>
            </w:r>
            <w:r w:rsidR="00A2433B">
              <w:rPr>
                <w:noProof/>
                <w:webHidden/>
              </w:rPr>
              <w:instrText xml:space="preserve"> PAGEREF _Toc327516038 \h </w:instrText>
            </w:r>
            <w:r w:rsidR="00B65468">
              <w:rPr>
                <w:noProof/>
                <w:webHidden/>
              </w:rPr>
            </w:r>
            <w:r w:rsidR="00B65468">
              <w:rPr>
                <w:noProof/>
                <w:webHidden/>
              </w:rPr>
              <w:fldChar w:fldCharType="separate"/>
            </w:r>
            <w:r w:rsidR="00A2433B">
              <w:rPr>
                <w:noProof/>
                <w:webHidden/>
              </w:rPr>
              <w:t>9</w:t>
            </w:r>
            <w:r w:rsidR="00B65468">
              <w:rPr>
                <w:noProof/>
                <w:webHidden/>
              </w:rPr>
              <w:fldChar w:fldCharType="end"/>
            </w:r>
          </w:hyperlink>
        </w:p>
        <w:p w:rsidR="00A2433B" w:rsidRDefault="00DE56EA">
          <w:pPr>
            <w:pStyle w:val="TOC3"/>
            <w:tabs>
              <w:tab w:val="right" w:leader="dot" w:pos="9350"/>
            </w:tabs>
            <w:rPr>
              <w:rFonts w:asciiTheme="minorHAnsi" w:eastAsiaTheme="minorEastAsia" w:hAnsiTheme="minorHAnsi" w:cstheme="minorBidi"/>
              <w:noProof/>
              <w:sz w:val="22"/>
              <w:szCs w:val="22"/>
            </w:rPr>
          </w:pPr>
          <w:hyperlink w:anchor="_Toc327516039" w:history="1">
            <w:r w:rsidR="00A2433B" w:rsidRPr="0068397F">
              <w:rPr>
                <w:rStyle w:val="Hyperlink"/>
                <w:bCs/>
                <w:noProof/>
              </w:rPr>
              <w:t>1.3.6 Loss Theft Damaged and Destroyed</w:t>
            </w:r>
            <w:r w:rsidR="00A2433B">
              <w:rPr>
                <w:noProof/>
                <w:webHidden/>
              </w:rPr>
              <w:tab/>
            </w:r>
            <w:r w:rsidR="00B65468">
              <w:rPr>
                <w:noProof/>
                <w:webHidden/>
              </w:rPr>
              <w:fldChar w:fldCharType="begin"/>
            </w:r>
            <w:r w:rsidR="00A2433B">
              <w:rPr>
                <w:noProof/>
                <w:webHidden/>
              </w:rPr>
              <w:instrText xml:space="preserve"> PAGEREF _Toc327516039 \h </w:instrText>
            </w:r>
            <w:r w:rsidR="00B65468">
              <w:rPr>
                <w:noProof/>
                <w:webHidden/>
              </w:rPr>
            </w:r>
            <w:r w:rsidR="00B65468">
              <w:rPr>
                <w:noProof/>
                <w:webHidden/>
              </w:rPr>
              <w:fldChar w:fldCharType="separate"/>
            </w:r>
            <w:r w:rsidR="00A2433B">
              <w:rPr>
                <w:noProof/>
                <w:webHidden/>
              </w:rPr>
              <w:t>9</w:t>
            </w:r>
            <w:r w:rsidR="00B65468">
              <w:rPr>
                <w:noProof/>
                <w:webHidden/>
              </w:rPr>
              <w:fldChar w:fldCharType="end"/>
            </w:r>
          </w:hyperlink>
        </w:p>
        <w:p w:rsidR="00A2433B" w:rsidRDefault="00DE56EA">
          <w:pPr>
            <w:pStyle w:val="TOC2"/>
            <w:tabs>
              <w:tab w:val="right" w:leader="dot" w:pos="9350"/>
            </w:tabs>
            <w:rPr>
              <w:rFonts w:asciiTheme="minorHAnsi" w:eastAsiaTheme="minorEastAsia" w:hAnsiTheme="minorHAnsi" w:cstheme="minorBidi"/>
              <w:noProof/>
              <w:sz w:val="22"/>
              <w:szCs w:val="22"/>
            </w:rPr>
          </w:pPr>
          <w:hyperlink w:anchor="_Toc327516040" w:history="1">
            <w:r w:rsidR="00A2433B" w:rsidRPr="0068397F">
              <w:rPr>
                <w:rStyle w:val="Hyperlink"/>
                <w:noProof/>
              </w:rPr>
              <w:t>1.4 GFP PROCESS</w:t>
            </w:r>
            <w:r w:rsidR="00A2433B">
              <w:rPr>
                <w:noProof/>
                <w:webHidden/>
              </w:rPr>
              <w:tab/>
            </w:r>
            <w:r w:rsidR="00B65468">
              <w:rPr>
                <w:noProof/>
                <w:webHidden/>
              </w:rPr>
              <w:fldChar w:fldCharType="begin"/>
            </w:r>
            <w:r w:rsidR="00A2433B">
              <w:rPr>
                <w:noProof/>
                <w:webHidden/>
              </w:rPr>
              <w:instrText xml:space="preserve"> PAGEREF _Toc327516040 \h </w:instrText>
            </w:r>
            <w:r w:rsidR="00B65468">
              <w:rPr>
                <w:noProof/>
                <w:webHidden/>
              </w:rPr>
            </w:r>
            <w:r w:rsidR="00B65468">
              <w:rPr>
                <w:noProof/>
                <w:webHidden/>
              </w:rPr>
              <w:fldChar w:fldCharType="separate"/>
            </w:r>
            <w:r w:rsidR="00A2433B">
              <w:rPr>
                <w:noProof/>
                <w:webHidden/>
              </w:rPr>
              <w:t>9</w:t>
            </w:r>
            <w:r w:rsidR="00B65468">
              <w:rPr>
                <w:noProof/>
                <w:webHidden/>
              </w:rPr>
              <w:fldChar w:fldCharType="end"/>
            </w:r>
          </w:hyperlink>
        </w:p>
        <w:p w:rsidR="00A2433B" w:rsidRDefault="00DE56EA">
          <w:pPr>
            <w:pStyle w:val="TOC1"/>
            <w:tabs>
              <w:tab w:val="right" w:leader="dot" w:pos="9350"/>
            </w:tabs>
            <w:rPr>
              <w:rFonts w:asciiTheme="minorHAnsi" w:eastAsiaTheme="minorEastAsia" w:hAnsiTheme="minorHAnsi" w:cstheme="minorBidi"/>
              <w:noProof/>
              <w:sz w:val="22"/>
              <w:szCs w:val="22"/>
            </w:rPr>
          </w:pPr>
          <w:hyperlink w:anchor="_Toc327516041" w:history="1">
            <w:r w:rsidR="00A2433B" w:rsidRPr="0068397F">
              <w:rPr>
                <w:rStyle w:val="Hyperlink"/>
                <w:noProof/>
              </w:rPr>
              <w:t>2.0   ESTABLISH THE GFP AUTHORIZATION</w:t>
            </w:r>
            <w:r w:rsidR="00A2433B">
              <w:rPr>
                <w:noProof/>
                <w:webHidden/>
              </w:rPr>
              <w:tab/>
            </w:r>
            <w:r w:rsidR="00B65468">
              <w:rPr>
                <w:noProof/>
                <w:webHidden/>
              </w:rPr>
              <w:fldChar w:fldCharType="begin"/>
            </w:r>
            <w:r w:rsidR="00A2433B">
              <w:rPr>
                <w:noProof/>
                <w:webHidden/>
              </w:rPr>
              <w:instrText xml:space="preserve"> PAGEREF _Toc327516041 \h </w:instrText>
            </w:r>
            <w:r w:rsidR="00B65468">
              <w:rPr>
                <w:noProof/>
                <w:webHidden/>
              </w:rPr>
            </w:r>
            <w:r w:rsidR="00B65468">
              <w:rPr>
                <w:noProof/>
                <w:webHidden/>
              </w:rPr>
              <w:fldChar w:fldCharType="separate"/>
            </w:r>
            <w:r w:rsidR="00A2433B">
              <w:rPr>
                <w:noProof/>
                <w:webHidden/>
              </w:rPr>
              <w:t>10</w:t>
            </w:r>
            <w:r w:rsidR="00B65468">
              <w:rPr>
                <w:noProof/>
                <w:webHidden/>
              </w:rPr>
              <w:fldChar w:fldCharType="end"/>
            </w:r>
          </w:hyperlink>
        </w:p>
        <w:p w:rsidR="00A2433B" w:rsidRDefault="00DE56EA">
          <w:pPr>
            <w:pStyle w:val="TOC2"/>
            <w:tabs>
              <w:tab w:val="right" w:leader="dot" w:pos="9350"/>
            </w:tabs>
            <w:rPr>
              <w:rFonts w:asciiTheme="minorHAnsi" w:eastAsiaTheme="minorEastAsia" w:hAnsiTheme="minorHAnsi" w:cstheme="minorBidi"/>
              <w:noProof/>
              <w:sz w:val="22"/>
              <w:szCs w:val="22"/>
            </w:rPr>
          </w:pPr>
          <w:hyperlink w:anchor="_Toc327516042" w:history="1">
            <w:r w:rsidR="00A2433B" w:rsidRPr="0068397F">
              <w:rPr>
                <w:rStyle w:val="Hyperlink"/>
                <w:noProof/>
              </w:rPr>
              <w:t>2.1 NEW PROCUREMENT</w:t>
            </w:r>
            <w:r w:rsidR="00A2433B">
              <w:rPr>
                <w:noProof/>
                <w:webHidden/>
              </w:rPr>
              <w:tab/>
            </w:r>
            <w:r w:rsidR="00B65468">
              <w:rPr>
                <w:noProof/>
                <w:webHidden/>
              </w:rPr>
              <w:fldChar w:fldCharType="begin"/>
            </w:r>
            <w:r w:rsidR="00A2433B">
              <w:rPr>
                <w:noProof/>
                <w:webHidden/>
              </w:rPr>
              <w:instrText xml:space="preserve"> PAGEREF _Toc327516042 \h </w:instrText>
            </w:r>
            <w:r w:rsidR="00B65468">
              <w:rPr>
                <w:noProof/>
                <w:webHidden/>
              </w:rPr>
            </w:r>
            <w:r w:rsidR="00B65468">
              <w:rPr>
                <w:noProof/>
                <w:webHidden/>
              </w:rPr>
              <w:fldChar w:fldCharType="separate"/>
            </w:r>
            <w:r w:rsidR="00A2433B">
              <w:rPr>
                <w:noProof/>
                <w:webHidden/>
              </w:rPr>
              <w:t>10</w:t>
            </w:r>
            <w:r w:rsidR="00B65468">
              <w:rPr>
                <w:noProof/>
                <w:webHidden/>
              </w:rPr>
              <w:fldChar w:fldCharType="end"/>
            </w:r>
          </w:hyperlink>
        </w:p>
        <w:p w:rsidR="00A2433B" w:rsidRDefault="00DE56EA">
          <w:pPr>
            <w:pStyle w:val="TOC2"/>
            <w:tabs>
              <w:tab w:val="right" w:leader="dot" w:pos="9350"/>
            </w:tabs>
            <w:rPr>
              <w:rFonts w:asciiTheme="minorHAnsi" w:eastAsiaTheme="minorEastAsia" w:hAnsiTheme="minorHAnsi" w:cstheme="minorBidi"/>
              <w:noProof/>
              <w:sz w:val="22"/>
              <w:szCs w:val="22"/>
            </w:rPr>
          </w:pPr>
          <w:hyperlink w:anchor="_Toc327516043" w:history="1">
            <w:r w:rsidR="00A2433B" w:rsidRPr="0068397F">
              <w:rPr>
                <w:rStyle w:val="Hyperlink"/>
                <w:noProof/>
              </w:rPr>
              <w:t>2.2 EXISTING CONTRACTS</w:t>
            </w:r>
            <w:r w:rsidR="00A2433B">
              <w:rPr>
                <w:noProof/>
                <w:webHidden/>
              </w:rPr>
              <w:tab/>
            </w:r>
            <w:r w:rsidR="00B65468">
              <w:rPr>
                <w:noProof/>
                <w:webHidden/>
              </w:rPr>
              <w:fldChar w:fldCharType="begin"/>
            </w:r>
            <w:r w:rsidR="00A2433B">
              <w:rPr>
                <w:noProof/>
                <w:webHidden/>
              </w:rPr>
              <w:instrText xml:space="preserve"> PAGEREF _Toc327516043 \h </w:instrText>
            </w:r>
            <w:r w:rsidR="00B65468">
              <w:rPr>
                <w:noProof/>
                <w:webHidden/>
              </w:rPr>
            </w:r>
            <w:r w:rsidR="00B65468">
              <w:rPr>
                <w:noProof/>
                <w:webHidden/>
              </w:rPr>
              <w:fldChar w:fldCharType="separate"/>
            </w:r>
            <w:r w:rsidR="00A2433B">
              <w:rPr>
                <w:noProof/>
                <w:webHidden/>
              </w:rPr>
              <w:t>11</w:t>
            </w:r>
            <w:r w:rsidR="00B65468">
              <w:rPr>
                <w:noProof/>
                <w:webHidden/>
              </w:rPr>
              <w:fldChar w:fldCharType="end"/>
            </w:r>
          </w:hyperlink>
        </w:p>
        <w:p w:rsidR="00A2433B" w:rsidRDefault="00DE56EA">
          <w:pPr>
            <w:pStyle w:val="TOC1"/>
            <w:tabs>
              <w:tab w:val="right" w:leader="dot" w:pos="9350"/>
            </w:tabs>
            <w:rPr>
              <w:rFonts w:asciiTheme="minorHAnsi" w:eastAsiaTheme="minorEastAsia" w:hAnsiTheme="minorHAnsi" w:cstheme="minorBidi"/>
              <w:noProof/>
              <w:sz w:val="22"/>
              <w:szCs w:val="22"/>
            </w:rPr>
          </w:pPr>
          <w:hyperlink w:anchor="_Toc327516044" w:history="1">
            <w:r w:rsidR="00A2433B" w:rsidRPr="0068397F">
              <w:rPr>
                <w:rStyle w:val="Hyperlink"/>
                <w:noProof/>
              </w:rPr>
              <w:t>3.0   VISIBILITY OF GFP STEWARDSHIP TO SUPPORT EXISTENCE AND COMPLETENESS</w:t>
            </w:r>
            <w:r w:rsidR="00A2433B">
              <w:rPr>
                <w:noProof/>
                <w:webHidden/>
              </w:rPr>
              <w:tab/>
            </w:r>
            <w:r w:rsidR="00B65468">
              <w:rPr>
                <w:noProof/>
                <w:webHidden/>
              </w:rPr>
              <w:fldChar w:fldCharType="begin"/>
            </w:r>
            <w:r w:rsidR="00A2433B">
              <w:rPr>
                <w:noProof/>
                <w:webHidden/>
              </w:rPr>
              <w:instrText xml:space="preserve"> PAGEREF _Toc327516044 \h </w:instrText>
            </w:r>
            <w:r w:rsidR="00B65468">
              <w:rPr>
                <w:noProof/>
                <w:webHidden/>
              </w:rPr>
            </w:r>
            <w:r w:rsidR="00B65468">
              <w:rPr>
                <w:noProof/>
                <w:webHidden/>
              </w:rPr>
              <w:fldChar w:fldCharType="separate"/>
            </w:r>
            <w:r w:rsidR="00A2433B">
              <w:rPr>
                <w:noProof/>
                <w:webHidden/>
              </w:rPr>
              <w:t>13</w:t>
            </w:r>
            <w:r w:rsidR="00B65468">
              <w:rPr>
                <w:noProof/>
                <w:webHidden/>
              </w:rPr>
              <w:fldChar w:fldCharType="end"/>
            </w:r>
          </w:hyperlink>
        </w:p>
        <w:p w:rsidR="00A2433B" w:rsidRDefault="00DE56EA">
          <w:pPr>
            <w:pStyle w:val="TOC2"/>
            <w:tabs>
              <w:tab w:val="right" w:leader="dot" w:pos="9350"/>
            </w:tabs>
            <w:rPr>
              <w:rFonts w:asciiTheme="minorHAnsi" w:eastAsiaTheme="minorEastAsia" w:hAnsiTheme="minorHAnsi" w:cstheme="minorBidi"/>
              <w:noProof/>
              <w:sz w:val="22"/>
              <w:szCs w:val="22"/>
            </w:rPr>
          </w:pPr>
          <w:hyperlink w:anchor="_Toc327516045" w:history="1">
            <w:r w:rsidR="00A2433B" w:rsidRPr="0068397F">
              <w:rPr>
                <w:rStyle w:val="Hyperlink"/>
                <w:noProof/>
              </w:rPr>
              <w:t>3.1   TYPES OF GFP</w:t>
            </w:r>
            <w:r w:rsidR="00A2433B">
              <w:rPr>
                <w:noProof/>
                <w:webHidden/>
              </w:rPr>
              <w:tab/>
            </w:r>
            <w:r w:rsidR="00B65468">
              <w:rPr>
                <w:noProof/>
                <w:webHidden/>
              </w:rPr>
              <w:fldChar w:fldCharType="begin"/>
            </w:r>
            <w:r w:rsidR="00A2433B">
              <w:rPr>
                <w:noProof/>
                <w:webHidden/>
              </w:rPr>
              <w:instrText xml:space="preserve"> PAGEREF _Toc327516045 \h </w:instrText>
            </w:r>
            <w:r w:rsidR="00B65468">
              <w:rPr>
                <w:noProof/>
                <w:webHidden/>
              </w:rPr>
            </w:r>
            <w:r w:rsidR="00B65468">
              <w:rPr>
                <w:noProof/>
                <w:webHidden/>
              </w:rPr>
              <w:fldChar w:fldCharType="separate"/>
            </w:r>
            <w:r w:rsidR="00A2433B">
              <w:rPr>
                <w:noProof/>
                <w:webHidden/>
              </w:rPr>
              <w:t>13</w:t>
            </w:r>
            <w:r w:rsidR="00B65468">
              <w:rPr>
                <w:noProof/>
                <w:webHidden/>
              </w:rPr>
              <w:fldChar w:fldCharType="end"/>
            </w:r>
          </w:hyperlink>
        </w:p>
        <w:p w:rsidR="00A2433B" w:rsidRDefault="00DE56EA">
          <w:pPr>
            <w:pStyle w:val="TOC2"/>
            <w:tabs>
              <w:tab w:val="right" w:leader="dot" w:pos="9350"/>
            </w:tabs>
            <w:rPr>
              <w:rFonts w:asciiTheme="minorHAnsi" w:eastAsiaTheme="minorEastAsia" w:hAnsiTheme="minorHAnsi" w:cstheme="minorBidi"/>
              <w:noProof/>
              <w:sz w:val="22"/>
              <w:szCs w:val="22"/>
            </w:rPr>
          </w:pPr>
          <w:hyperlink w:anchor="_Toc327516046" w:history="1">
            <w:r w:rsidR="00A2433B" w:rsidRPr="0068397F">
              <w:rPr>
                <w:rStyle w:val="Hyperlink"/>
                <w:noProof/>
              </w:rPr>
              <w:t>3.2 GFP PROCESS ROLES</w:t>
            </w:r>
            <w:r w:rsidR="00A2433B">
              <w:rPr>
                <w:noProof/>
                <w:webHidden/>
              </w:rPr>
              <w:tab/>
            </w:r>
            <w:r w:rsidR="00B65468">
              <w:rPr>
                <w:noProof/>
                <w:webHidden/>
              </w:rPr>
              <w:fldChar w:fldCharType="begin"/>
            </w:r>
            <w:r w:rsidR="00A2433B">
              <w:rPr>
                <w:noProof/>
                <w:webHidden/>
              </w:rPr>
              <w:instrText xml:space="preserve"> PAGEREF _Toc327516046 \h </w:instrText>
            </w:r>
            <w:r w:rsidR="00B65468">
              <w:rPr>
                <w:noProof/>
                <w:webHidden/>
              </w:rPr>
            </w:r>
            <w:r w:rsidR="00B65468">
              <w:rPr>
                <w:noProof/>
                <w:webHidden/>
              </w:rPr>
              <w:fldChar w:fldCharType="separate"/>
            </w:r>
            <w:r w:rsidR="00A2433B">
              <w:rPr>
                <w:noProof/>
                <w:webHidden/>
              </w:rPr>
              <w:t>14</w:t>
            </w:r>
            <w:r w:rsidR="00B65468">
              <w:rPr>
                <w:noProof/>
                <w:webHidden/>
              </w:rPr>
              <w:fldChar w:fldCharType="end"/>
            </w:r>
          </w:hyperlink>
        </w:p>
        <w:p w:rsidR="00A2433B" w:rsidRDefault="00DE56EA">
          <w:pPr>
            <w:pStyle w:val="TOC2"/>
            <w:tabs>
              <w:tab w:val="right" w:leader="dot" w:pos="9350"/>
            </w:tabs>
            <w:rPr>
              <w:rFonts w:asciiTheme="minorHAnsi" w:eastAsiaTheme="minorEastAsia" w:hAnsiTheme="minorHAnsi" w:cstheme="minorBidi"/>
              <w:noProof/>
              <w:sz w:val="22"/>
              <w:szCs w:val="22"/>
            </w:rPr>
          </w:pPr>
          <w:hyperlink w:anchor="_Toc327516047" w:history="1">
            <w:r w:rsidR="00A2433B" w:rsidRPr="0068397F">
              <w:rPr>
                <w:rStyle w:val="Hyperlink"/>
                <w:noProof/>
              </w:rPr>
              <w:t>3.4 PROVIDING GFP TO THE CONTRACTOR</w:t>
            </w:r>
            <w:r w:rsidR="00A2433B">
              <w:rPr>
                <w:noProof/>
                <w:webHidden/>
              </w:rPr>
              <w:tab/>
            </w:r>
            <w:r w:rsidR="00B65468">
              <w:rPr>
                <w:noProof/>
                <w:webHidden/>
              </w:rPr>
              <w:fldChar w:fldCharType="begin"/>
            </w:r>
            <w:r w:rsidR="00A2433B">
              <w:rPr>
                <w:noProof/>
                <w:webHidden/>
              </w:rPr>
              <w:instrText xml:space="preserve"> PAGEREF _Toc327516047 \h </w:instrText>
            </w:r>
            <w:r w:rsidR="00B65468">
              <w:rPr>
                <w:noProof/>
                <w:webHidden/>
              </w:rPr>
            </w:r>
            <w:r w:rsidR="00B65468">
              <w:rPr>
                <w:noProof/>
                <w:webHidden/>
              </w:rPr>
              <w:fldChar w:fldCharType="separate"/>
            </w:r>
            <w:r w:rsidR="00A2433B">
              <w:rPr>
                <w:noProof/>
                <w:webHidden/>
              </w:rPr>
              <w:t>14</w:t>
            </w:r>
            <w:r w:rsidR="00B65468">
              <w:rPr>
                <w:noProof/>
                <w:webHidden/>
              </w:rPr>
              <w:fldChar w:fldCharType="end"/>
            </w:r>
          </w:hyperlink>
        </w:p>
        <w:p w:rsidR="00A2433B" w:rsidRDefault="00DE56EA">
          <w:pPr>
            <w:pStyle w:val="TOC3"/>
            <w:tabs>
              <w:tab w:val="right" w:leader="dot" w:pos="9350"/>
            </w:tabs>
            <w:rPr>
              <w:rFonts w:asciiTheme="minorHAnsi" w:eastAsiaTheme="minorEastAsia" w:hAnsiTheme="minorHAnsi" w:cstheme="minorBidi"/>
              <w:noProof/>
              <w:sz w:val="22"/>
              <w:szCs w:val="22"/>
            </w:rPr>
          </w:pPr>
          <w:hyperlink w:anchor="_Toc327516048" w:history="1">
            <w:r w:rsidR="00A2433B" w:rsidRPr="0068397F">
              <w:rPr>
                <w:rStyle w:val="Hyperlink"/>
                <w:bCs/>
                <w:noProof/>
              </w:rPr>
              <w:t>3.4.1 GFP Provisioning via WAWF</w:t>
            </w:r>
            <w:r w:rsidR="00A2433B">
              <w:rPr>
                <w:noProof/>
                <w:webHidden/>
              </w:rPr>
              <w:tab/>
            </w:r>
            <w:r w:rsidR="00B65468">
              <w:rPr>
                <w:noProof/>
                <w:webHidden/>
              </w:rPr>
              <w:fldChar w:fldCharType="begin"/>
            </w:r>
            <w:r w:rsidR="00A2433B">
              <w:rPr>
                <w:noProof/>
                <w:webHidden/>
              </w:rPr>
              <w:instrText xml:space="preserve"> PAGEREF _Toc327516048 \h </w:instrText>
            </w:r>
            <w:r w:rsidR="00B65468">
              <w:rPr>
                <w:noProof/>
                <w:webHidden/>
              </w:rPr>
            </w:r>
            <w:r w:rsidR="00B65468">
              <w:rPr>
                <w:noProof/>
                <w:webHidden/>
              </w:rPr>
              <w:fldChar w:fldCharType="separate"/>
            </w:r>
            <w:r w:rsidR="00A2433B">
              <w:rPr>
                <w:noProof/>
                <w:webHidden/>
              </w:rPr>
              <w:t>15</w:t>
            </w:r>
            <w:r w:rsidR="00B65468">
              <w:rPr>
                <w:noProof/>
                <w:webHidden/>
              </w:rPr>
              <w:fldChar w:fldCharType="end"/>
            </w:r>
          </w:hyperlink>
        </w:p>
        <w:p w:rsidR="00A2433B" w:rsidRDefault="00DE56EA">
          <w:pPr>
            <w:pStyle w:val="TOC3"/>
            <w:tabs>
              <w:tab w:val="right" w:leader="dot" w:pos="9350"/>
            </w:tabs>
            <w:rPr>
              <w:rFonts w:asciiTheme="minorHAnsi" w:eastAsiaTheme="minorEastAsia" w:hAnsiTheme="minorHAnsi" w:cstheme="minorBidi"/>
              <w:noProof/>
              <w:sz w:val="22"/>
              <w:szCs w:val="22"/>
            </w:rPr>
          </w:pPr>
          <w:hyperlink w:anchor="_Toc327516049" w:history="1">
            <w:r w:rsidR="00A2433B" w:rsidRPr="0068397F">
              <w:rPr>
                <w:rStyle w:val="Hyperlink"/>
                <w:bCs/>
                <w:noProof/>
              </w:rPr>
              <w:t>3.4.2 Unilateral Receipt of GFP via WAWF by a Contractor</w:t>
            </w:r>
            <w:r w:rsidR="00A2433B">
              <w:rPr>
                <w:noProof/>
                <w:webHidden/>
              </w:rPr>
              <w:tab/>
            </w:r>
            <w:r w:rsidR="00B65468">
              <w:rPr>
                <w:noProof/>
                <w:webHidden/>
              </w:rPr>
              <w:fldChar w:fldCharType="begin"/>
            </w:r>
            <w:r w:rsidR="00A2433B">
              <w:rPr>
                <w:noProof/>
                <w:webHidden/>
              </w:rPr>
              <w:instrText xml:space="preserve"> PAGEREF _Toc327516049 \h </w:instrText>
            </w:r>
            <w:r w:rsidR="00B65468">
              <w:rPr>
                <w:noProof/>
                <w:webHidden/>
              </w:rPr>
            </w:r>
            <w:r w:rsidR="00B65468">
              <w:rPr>
                <w:noProof/>
                <w:webHidden/>
              </w:rPr>
              <w:fldChar w:fldCharType="separate"/>
            </w:r>
            <w:r w:rsidR="00A2433B">
              <w:rPr>
                <w:noProof/>
                <w:webHidden/>
              </w:rPr>
              <w:t>16</w:t>
            </w:r>
            <w:r w:rsidR="00B65468">
              <w:rPr>
                <w:noProof/>
                <w:webHidden/>
              </w:rPr>
              <w:fldChar w:fldCharType="end"/>
            </w:r>
          </w:hyperlink>
        </w:p>
        <w:p w:rsidR="00A2433B" w:rsidRDefault="00DE56EA">
          <w:pPr>
            <w:pStyle w:val="TOC3"/>
            <w:tabs>
              <w:tab w:val="right" w:leader="dot" w:pos="9350"/>
            </w:tabs>
            <w:rPr>
              <w:rFonts w:asciiTheme="minorHAnsi" w:eastAsiaTheme="minorEastAsia" w:hAnsiTheme="minorHAnsi" w:cstheme="minorBidi"/>
              <w:noProof/>
              <w:sz w:val="22"/>
              <w:szCs w:val="22"/>
            </w:rPr>
          </w:pPr>
          <w:hyperlink w:anchor="_Toc327516050" w:history="1">
            <w:r w:rsidR="00A2433B" w:rsidRPr="0068397F">
              <w:rPr>
                <w:rStyle w:val="Hyperlink"/>
                <w:bCs/>
                <w:noProof/>
              </w:rPr>
              <w:t>3.4.3 GFP Items Provisioned from DoD Supply System</w:t>
            </w:r>
            <w:r w:rsidR="00A2433B">
              <w:rPr>
                <w:noProof/>
                <w:webHidden/>
              </w:rPr>
              <w:tab/>
            </w:r>
            <w:r w:rsidR="00B65468">
              <w:rPr>
                <w:noProof/>
                <w:webHidden/>
              </w:rPr>
              <w:fldChar w:fldCharType="begin"/>
            </w:r>
            <w:r w:rsidR="00A2433B">
              <w:rPr>
                <w:noProof/>
                <w:webHidden/>
              </w:rPr>
              <w:instrText xml:space="preserve"> PAGEREF _Toc327516050 \h </w:instrText>
            </w:r>
            <w:r w:rsidR="00B65468">
              <w:rPr>
                <w:noProof/>
                <w:webHidden/>
              </w:rPr>
            </w:r>
            <w:r w:rsidR="00B65468">
              <w:rPr>
                <w:noProof/>
                <w:webHidden/>
              </w:rPr>
              <w:fldChar w:fldCharType="separate"/>
            </w:r>
            <w:r w:rsidR="00A2433B">
              <w:rPr>
                <w:noProof/>
                <w:webHidden/>
              </w:rPr>
              <w:t>17</w:t>
            </w:r>
            <w:r w:rsidR="00B65468">
              <w:rPr>
                <w:noProof/>
                <w:webHidden/>
              </w:rPr>
              <w:fldChar w:fldCharType="end"/>
            </w:r>
          </w:hyperlink>
        </w:p>
        <w:p w:rsidR="00A2433B" w:rsidRDefault="00DE56EA">
          <w:pPr>
            <w:pStyle w:val="TOC3"/>
            <w:tabs>
              <w:tab w:val="right" w:leader="dot" w:pos="9350"/>
            </w:tabs>
            <w:rPr>
              <w:rFonts w:asciiTheme="minorHAnsi" w:eastAsiaTheme="minorEastAsia" w:hAnsiTheme="minorHAnsi" w:cstheme="minorBidi"/>
              <w:noProof/>
              <w:sz w:val="22"/>
              <w:szCs w:val="22"/>
            </w:rPr>
          </w:pPr>
          <w:hyperlink w:anchor="_Toc327516051" w:history="1">
            <w:r w:rsidR="00A2433B" w:rsidRPr="0068397F">
              <w:rPr>
                <w:rStyle w:val="Hyperlink"/>
                <w:bCs/>
                <w:noProof/>
              </w:rPr>
              <w:t>3.4.4 Unilateral Receipt of GFP via IUID Registry by a Contractor</w:t>
            </w:r>
            <w:r w:rsidR="00A2433B">
              <w:rPr>
                <w:noProof/>
                <w:webHidden/>
              </w:rPr>
              <w:tab/>
            </w:r>
            <w:r w:rsidR="00B65468">
              <w:rPr>
                <w:noProof/>
                <w:webHidden/>
              </w:rPr>
              <w:fldChar w:fldCharType="begin"/>
            </w:r>
            <w:r w:rsidR="00A2433B">
              <w:rPr>
                <w:noProof/>
                <w:webHidden/>
              </w:rPr>
              <w:instrText xml:space="preserve"> PAGEREF _Toc327516051 \h </w:instrText>
            </w:r>
            <w:r w:rsidR="00B65468">
              <w:rPr>
                <w:noProof/>
                <w:webHidden/>
              </w:rPr>
            </w:r>
            <w:r w:rsidR="00B65468">
              <w:rPr>
                <w:noProof/>
                <w:webHidden/>
              </w:rPr>
              <w:fldChar w:fldCharType="separate"/>
            </w:r>
            <w:r w:rsidR="00A2433B">
              <w:rPr>
                <w:noProof/>
                <w:webHidden/>
              </w:rPr>
              <w:t>17</w:t>
            </w:r>
            <w:r w:rsidR="00B65468">
              <w:rPr>
                <w:noProof/>
                <w:webHidden/>
              </w:rPr>
              <w:fldChar w:fldCharType="end"/>
            </w:r>
          </w:hyperlink>
        </w:p>
        <w:p w:rsidR="00A2433B" w:rsidRDefault="00DE56EA">
          <w:pPr>
            <w:pStyle w:val="TOC2"/>
            <w:tabs>
              <w:tab w:val="right" w:leader="dot" w:pos="9350"/>
            </w:tabs>
            <w:rPr>
              <w:rFonts w:asciiTheme="minorHAnsi" w:eastAsiaTheme="minorEastAsia" w:hAnsiTheme="minorHAnsi" w:cstheme="minorBidi"/>
              <w:noProof/>
              <w:sz w:val="22"/>
              <w:szCs w:val="22"/>
            </w:rPr>
          </w:pPr>
          <w:hyperlink w:anchor="_Toc327516052" w:history="1">
            <w:r w:rsidR="00A2433B" w:rsidRPr="0068397F">
              <w:rPr>
                <w:rStyle w:val="Hyperlink"/>
                <w:noProof/>
              </w:rPr>
              <w:t>3.5 GFP RETURNING TO DoD CUSTODY</w:t>
            </w:r>
            <w:r w:rsidR="00A2433B">
              <w:rPr>
                <w:noProof/>
                <w:webHidden/>
              </w:rPr>
              <w:tab/>
            </w:r>
            <w:r w:rsidR="00B65468">
              <w:rPr>
                <w:noProof/>
                <w:webHidden/>
              </w:rPr>
              <w:fldChar w:fldCharType="begin"/>
            </w:r>
            <w:r w:rsidR="00A2433B">
              <w:rPr>
                <w:noProof/>
                <w:webHidden/>
              </w:rPr>
              <w:instrText xml:space="preserve"> PAGEREF _Toc327516052 \h </w:instrText>
            </w:r>
            <w:r w:rsidR="00B65468">
              <w:rPr>
                <w:noProof/>
                <w:webHidden/>
              </w:rPr>
            </w:r>
            <w:r w:rsidR="00B65468">
              <w:rPr>
                <w:noProof/>
                <w:webHidden/>
              </w:rPr>
              <w:fldChar w:fldCharType="separate"/>
            </w:r>
            <w:r w:rsidR="00A2433B">
              <w:rPr>
                <w:noProof/>
                <w:webHidden/>
              </w:rPr>
              <w:t>18</w:t>
            </w:r>
            <w:r w:rsidR="00B65468">
              <w:rPr>
                <w:noProof/>
                <w:webHidden/>
              </w:rPr>
              <w:fldChar w:fldCharType="end"/>
            </w:r>
          </w:hyperlink>
        </w:p>
        <w:p w:rsidR="00A2433B" w:rsidRDefault="00DE56EA">
          <w:pPr>
            <w:pStyle w:val="TOC3"/>
            <w:tabs>
              <w:tab w:val="right" w:leader="dot" w:pos="9350"/>
            </w:tabs>
            <w:rPr>
              <w:rFonts w:asciiTheme="minorHAnsi" w:eastAsiaTheme="minorEastAsia" w:hAnsiTheme="minorHAnsi" w:cstheme="minorBidi"/>
              <w:noProof/>
              <w:sz w:val="22"/>
              <w:szCs w:val="22"/>
            </w:rPr>
          </w:pPr>
          <w:hyperlink w:anchor="_Toc327516053" w:history="1">
            <w:r w:rsidR="00A2433B" w:rsidRPr="0068397F">
              <w:rPr>
                <w:rStyle w:val="Hyperlink"/>
                <w:bCs/>
                <w:noProof/>
              </w:rPr>
              <w:t>3.5.1 Non-serialized, NonUII’d GFP</w:t>
            </w:r>
            <w:r w:rsidR="00A2433B">
              <w:rPr>
                <w:noProof/>
                <w:webHidden/>
              </w:rPr>
              <w:tab/>
            </w:r>
            <w:r w:rsidR="00B65468">
              <w:rPr>
                <w:noProof/>
                <w:webHidden/>
              </w:rPr>
              <w:fldChar w:fldCharType="begin"/>
            </w:r>
            <w:r w:rsidR="00A2433B">
              <w:rPr>
                <w:noProof/>
                <w:webHidden/>
              </w:rPr>
              <w:instrText xml:space="preserve"> PAGEREF _Toc327516053 \h </w:instrText>
            </w:r>
            <w:r w:rsidR="00B65468">
              <w:rPr>
                <w:noProof/>
                <w:webHidden/>
              </w:rPr>
            </w:r>
            <w:r w:rsidR="00B65468">
              <w:rPr>
                <w:noProof/>
                <w:webHidden/>
              </w:rPr>
              <w:fldChar w:fldCharType="separate"/>
            </w:r>
            <w:r w:rsidR="00A2433B">
              <w:rPr>
                <w:noProof/>
                <w:webHidden/>
              </w:rPr>
              <w:t>18</w:t>
            </w:r>
            <w:r w:rsidR="00B65468">
              <w:rPr>
                <w:noProof/>
                <w:webHidden/>
              </w:rPr>
              <w:fldChar w:fldCharType="end"/>
            </w:r>
          </w:hyperlink>
        </w:p>
        <w:p w:rsidR="00A2433B" w:rsidRDefault="00DE56EA">
          <w:pPr>
            <w:pStyle w:val="TOC3"/>
            <w:tabs>
              <w:tab w:val="right" w:leader="dot" w:pos="9350"/>
            </w:tabs>
            <w:rPr>
              <w:rFonts w:asciiTheme="minorHAnsi" w:eastAsiaTheme="minorEastAsia" w:hAnsiTheme="minorHAnsi" w:cstheme="minorBidi"/>
              <w:noProof/>
              <w:sz w:val="22"/>
              <w:szCs w:val="22"/>
            </w:rPr>
          </w:pPr>
          <w:hyperlink w:anchor="_Toc327516054" w:history="1">
            <w:r w:rsidR="00A2433B" w:rsidRPr="0068397F">
              <w:rPr>
                <w:rStyle w:val="Hyperlink"/>
                <w:bCs/>
                <w:noProof/>
              </w:rPr>
              <w:t>3.5.2 Product Support Items</w:t>
            </w:r>
            <w:r w:rsidR="00A2433B">
              <w:rPr>
                <w:noProof/>
                <w:webHidden/>
              </w:rPr>
              <w:tab/>
            </w:r>
            <w:r w:rsidR="00B65468">
              <w:rPr>
                <w:noProof/>
                <w:webHidden/>
              </w:rPr>
              <w:fldChar w:fldCharType="begin"/>
            </w:r>
            <w:r w:rsidR="00A2433B">
              <w:rPr>
                <w:noProof/>
                <w:webHidden/>
              </w:rPr>
              <w:instrText xml:space="preserve"> PAGEREF _Toc327516054 \h </w:instrText>
            </w:r>
            <w:r w:rsidR="00B65468">
              <w:rPr>
                <w:noProof/>
                <w:webHidden/>
              </w:rPr>
            </w:r>
            <w:r w:rsidR="00B65468">
              <w:rPr>
                <w:noProof/>
                <w:webHidden/>
              </w:rPr>
              <w:fldChar w:fldCharType="separate"/>
            </w:r>
            <w:r w:rsidR="00A2433B">
              <w:rPr>
                <w:noProof/>
                <w:webHidden/>
              </w:rPr>
              <w:t>19</w:t>
            </w:r>
            <w:r w:rsidR="00B65468">
              <w:rPr>
                <w:noProof/>
                <w:webHidden/>
              </w:rPr>
              <w:fldChar w:fldCharType="end"/>
            </w:r>
          </w:hyperlink>
        </w:p>
        <w:p w:rsidR="00A2433B" w:rsidRDefault="00DE56EA">
          <w:pPr>
            <w:pStyle w:val="TOC3"/>
            <w:tabs>
              <w:tab w:val="right" w:leader="dot" w:pos="9350"/>
            </w:tabs>
            <w:rPr>
              <w:rFonts w:asciiTheme="minorHAnsi" w:eastAsiaTheme="minorEastAsia" w:hAnsiTheme="minorHAnsi" w:cstheme="minorBidi"/>
              <w:noProof/>
              <w:sz w:val="22"/>
              <w:szCs w:val="22"/>
            </w:rPr>
          </w:pPr>
          <w:hyperlink w:anchor="_Toc327516055" w:history="1">
            <w:r w:rsidR="00A2433B" w:rsidRPr="0068397F">
              <w:rPr>
                <w:rStyle w:val="Hyperlink"/>
                <w:bCs/>
                <w:noProof/>
              </w:rPr>
              <w:t>3.5.3 GFP Embedded in New Item Delivery</w:t>
            </w:r>
            <w:r w:rsidR="00A2433B">
              <w:rPr>
                <w:noProof/>
                <w:webHidden/>
              </w:rPr>
              <w:tab/>
            </w:r>
            <w:r w:rsidR="00B65468">
              <w:rPr>
                <w:noProof/>
                <w:webHidden/>
              </w:rPr>
              <w:fldChar w:fldCharType="begin"/>
            </w:r>
            <w:r w:rsidR="00A2433B">
              <w:rPr>
                <w:noProof/>
                <w:webHidden/>
              </w:rPr>
              <w:instrText xml:space="preserve"> PAGEREF _Toc327516055 \h </w:instrText>
            </w:r>
            <w:r w:rsidR="00B65468">
              <w:rPr>
                <w:noProof/>
                <w:webHidden/>
              </w:rPr>
            </w:r>
            <w:r w:rsidR="00B65468">
              <w:rPr>
                <w:noProof/>
                <w:webHidden/>
              </w:rPr>
              <w:fldChar w:fldCharType="separate"/>
            </w:r>
            <w:r w:rsidR="00A2433B">
              <w:rPr>
                <w:noProof/>
                <w:webHidden/>
              </w:rPr>
              <w:t>20</w:t>
            </w:r>
            <w:r w:rsidR="00B65468">
              <w:rPr>
                <w:noProof/>
                <w:webHidden/>
              </w:rPr>
              <w:fldChar w:fldCharType="end"/>
            </w:r>
          </w:hyperlink>
        </w:p>
        <w:p w:rsidR="00A2433B" w:rsidRDefault="00DE56EA">
          <w:pPr>
            <w:pStyle w:val="TOC3"/>
            <w:tabs>
              <w:tab w:val="right" w:leader="dot" w:pos="9350"/>
            </w:tabs>
            <w:rPr>
              <w:rFonts w:asciiTheme="minorHAnsi" w:eastAsiaTheme="minorEastAsia" w:hAnsiTheme="minorHAnsi" w:cstheme="minorBidi"/>
              <w:noProof/>
              <w:sz w:val="22"/>
              <w:szCs w:val="22"/>
            </w:rPr>
          </w:pPr>
          <w:hyperlink w:anchor="_Toc327516056" w:history="1">
            <w:r w:rsidR="00A2433B" w:rsidRPr="0068397F">
              <w:rPr>
                <w:rStyle w:val="Hyperlink"/>
                <w:bCs/>
                <w:noProof/>
              </w:rPr>
              <w:t>3.5.4 Reparables</w:t>
            </w:r>
            <w:r w:rsidR="00A2433B">
              <w:rPr>
                <w:noProof/>
                <w:webHidden/>
              </w:rPr>
              <w:tab/>
            </w:r>
            <w:r w:rsidR="00B65468">
              <w:rPr>
                <w:noProof/>
                <w:webHidden/>
              </w:rPr>
              <w:fldChar w:fldCharType="begin"/>
            </w:r>
            <w:r w:rsidR="00A2433B">
              <w:rPr>
                <w:noProof/>
                <w:webHidden/>
              </w:rPr>
              <w:instrText xml:space="preserve"> PAGEREF _Toc327516056 \h </w:instrText>
            </w:r>
            <w:r w:rsidR="00B65468">
              <w:rPr>
                <w:noProof/>
                <w:webHidden/>
              </w:rPr>
            </w:r>
            <w:r w:rsidR="00B65468">
              <w:rPr>
                <w:noProof/>
                <w:webHidden/>
              </w:rPr>
              <w:fldChar w:fldCharType="separate"/>
            </w:r>
            <w:r w:rsidR="00A2433B">
              <w:rPr>
                <w:noProof/>
                <w:webHidden/>
              </w:rPr>
              <w:t>21</w:t>
            </w:r>
            <w:r w:rsidR="00B65468">
              <w:rPr>
                <w:noProof/>
                <w:webHidden/>
              </w:rPr>
              <w:fldChar w:fldCharType="end"/>
            </w:r>
          </w:hyperlink>
        </w:p>
        <w:p w:rsidR="00A2433B" w:rsidRDefault="00DE56EA">
          <w:pPr>
            <w:pStyle w:val="TOC3"/>
            <w:tabs>
              <w:tab w:val="right" w:leader="dot" w:pos="9350"/>
            </w:tabs>
            <w:rPr>
              <w:rFonts w:asciiTheme="minorHAnsi" w:eastAsiaTheme="minorEastAsia" w:hAnsiTheme="minorHAnsi" w:cstheme="minorBidi"/>
              <w:noProof/>
              <w:sz w:val="22"/>
              <w:szCs w:val="22"/>
            </w:rPr>
          </w:pPr>
          <w:hyperlink w:anchor="_Toc327516057" w:history="1">
            <w:r w:rsidR="00A2433B" w:rsidRPr="0068397F">
              <w:rPr>
                <w:rStyle w:val="Hyperlink"/>
                <w:bCs/>
                <w:noProof/>
              </w:rPr>
              <w:t>3.5.5 GFP Embedded in Reparables</w:t>
            </w:r>
            <w:r w:rsidR="00A2433B">
              <w:rPr>
                <w:noProof/>
                <w:webHidden/>
              </w:rPr>
              <w:tab/>
            </w:r>
            <w:r w:rsidR="00B65468">
              <w:rPr>
                <w:noProof/>
                <w:webHidden/>
              </w:rPr>
              <w:fldChar w:fldCharType="begin"/>
            </w:r>
            <w:r w:rsidR="00A2433B">
              <w:rPr>
                <w:noProof/>
                <w:webHidden/>
              </w:rPr>
              <w:instrText xml:space="preserve"> PAGEREF _Toc327516057 \h </w:instrText>
            </w:r>
            <w:r w:rsidR="00B65468">
              <w:rPr>
                <w:noProof/>
                <w:webHidden/>
              </w:rPr>
            </w:r>
            <w:r w:rsidR="00B65468">
              <w:rPr>
                <w:noProof/>
                <w:webHidden/>
              </w:rPr>
              <w:fldChar w:fldCharType="separate"/>
            </w:r>
            <w:r w:rsidR="00A2433B">
              <w:rPr>
                <w:noProof/>
                <w:webHidden/>
              </w:rPr>
              <w:t>22</w:t>
            </w:r>
            <w:r w:rsidR="00B65468">
              <w:rPr>
                <w:noProof/>
                <w:webHidden/>
              </w:rPr>
              <w:fldChar w:fldCharType="end"/>
            </w:r>
          </w:hyperlink>
        </w:p>
        <w:p w:rsidR="00A2433B" w:rsidRDefault="00DE56EA">
          <w:pPr>
            <w:pStyle w:val="TOC2"/>
            <w:tabs>
              <w:tab w:val="right" w:leader="dot" w:pos="9350"/>
            </w:tabs>
            <w:rPr>
              <w:rFonts w:asciiTheme="minorHAnsi" w:eastAsiaTheme="minorEastAsia" w:hAnsiTheme="minorHAnsi" w:cstheme="minorBidi"/>
              <w:noProof/>
              <w:sz w:val="22"/>
              <w:szCs w:val="22"/>
            </w:rPr>
          </w:pPr>
          <w:hyperlink w:anchor="_Toc327516058" w:history="1">
            <w:r w:rsidR="00A2433B" w:rsidRPr="0068397F">
              <w:rPr>
                <w:rStyle w:val="Hyperlink"/>
                <w:noProof/>
              </w:rPr>
              <w:t>3.6 GFP INCIDENT TO DoD SUPPORT CONTRACTS</w:t>
            </w:r>
            <w:r w:rsidR="00A2433B">
              <w:rPr>
                <w:noProof/>
                <w:webHidden/>
              </w:rPr>
              <w:tab/>
            </w:r>
            <w:r w:rsidR="00B65468">
              <w:rPr>
                <w:noProof/>
                <w:webHidden/>
              </w:rPr>
              <w:fldChar w:fldCharType="begin"/>
            </w:r>
            <w:r w:rsidR="00A2433B">
              <w:rPr>
                <w:noProof/>
                <w:webHidden/>
              </w:rPr>
              <w:instrText xml:space="preserve"> PAGEREF _Toc327516058 \h </w:instrText>
            </w:r>
            <w:r w:rsidR="00B65468">
              <w:rPr>
                <w:noProof/>
                <w:webHidden/>
              </w:rPr>
            </w:r>
            <w:r w:rsidR="00B65468">
              <w:rPr>
                <w:noProof/>
                <w:webHidden/>
              </w:rPr>
              <w:fldChar w:fldCharType="separate"/>
            </w:r>
            <w:r w:rsidR="00A2433B">
              <w:rPr>
                <w:noProof/>
                <w:webHidden/>
              </w:rPr>
              <w:t>23</w:t>
            </w:r>
            <w:r w:rsidR="00B65468">
              <w:rPr>
                <w:noProof/>
                <w:webHidden/>
              </w:rPr>
              <w:fldChar w:fldCharType="end"/>
            </w:r>
          </w:hyperlink>
        </w:p>
        <w:p w:rsidR="00A2433B" w:rsidRDefault="00DE56EA">
          <w:pPr>
            <w:pStyle w:val="TOC1"/>
            <w:tabs>
              <w:tab w:val="right" w:leader="dot" w:pos="9350"/>
            </w:tabs>
            <w:rPr>
              <w:rFonts w:asciiTheme="minorHAnsi" w:eastAsiaTheme="minorEastAsia" w:hAnsiTheme="minorHAnsi" w:cstheme="minorBidi"/>
              <w:noProof/>
              <w:sz w:val="22"/>
              <w:szCs w:val="22"/>
            </w:rPr>
          </w:pPr>
          <w:hyperlink w:anchor="_Toc327516059" w:history="1">
            <w:r w:rsidR="00A2433B" w:rsidRPr="0068397F">
              <w:rPr>
                <w:rStyle w:val="Hyperlink"/>
                <w:b/>
                <w:noProof/>
              </w:rPr>
              <w:t>APPENDIX A – REFERENCE DOCUMENTS</w:t>
            </w:r>
            <w:r w:rsidR="00A2433B">
              <w:rPr>
                <w:noProof/>
                <w:webHidden/>
              </w:rPr>
              <w:tab/>
            </w:r>
            <w:r w:rsidR="00B65468">
              <w:rPr>
                <w:noProof/>
                <w:webHidden/>
              </w:rPr>
              <w:fldChar w:fldCharType="begin"/>
            </w:r>
            <w:r w:rsidR="00A2433B">
              <w:rPr>
                <w:noProof/>
                <w:webHidden/>
              </w:rPr>
              <w:instrText xml:space="preserve"> PAGEREF _Toc327516059 \h </w:instrText>
            </w:r>
            <w:r w:rsidR="00B65468">
              <w:rPr>
                <w:noProof/>
                <w:webHidden/>
              </w:rPr>
            </w:r>
            <w:r w:rsidR="00B65468">
              <w:rPr>
                <w:noProof/>
                <w:webHidden/>
              </w:rPr>
              <w:fldChar w:fldCharType="separate"/>
            </w:r>
            <w:r w:rsidR="00A2433B">
              <w:rPr>
                <w:noProof/>
                <w:webHidden/>
              </w:rPr>
              <w:t>1</w:t>
            </w:r>
            <w:r w:rsidR="00B65468">
              <w:rPr>
                <w:noProof/>
                <w:webHidden/>
              </w:rPr>
              <w:fldChar w:fldCharType="end"/>
            </w:r>
          </w:hyperlink>
        </w:p>
        <w:p w:rsidR="00A2433B" w:rsidRDefault="00DE56EA">
          <w:pPr>
            <w:pStyle w:val="TOC1"/>
            <w:tabs>
              <w:tab w:val="right" w:leader="dot" w:pos="9350"/>
            </w:tabs>
            <w:rPr>
              <w:rFonts w:asciiTheme="minorHAnsi" w:eastAsiaTheme="minorEastAsia" w:hAnsiTheme="minorHAnsi" w:cstheme="minorBidi"/>
              <w:noProof/>
              <w:sz w:val="22"/>
              <w:szCs w:val="22"/>
            </w:rPr>
          </w:pPr>
          <w:hyperlink w:anchor="_Toc327516060" w:history="1">
            <w:r w:rsidR="00A2433B" w:rsidRPr="0068397F">
              <w:rPr>
                <w:rStyle w:val="Hyperlink"/>
                <w:noProof/>
              </w:rPr>
              <w:t>APPENDIX B – Fillable Adobe GFP Authorization Forms</w:t>
            </w:r>
            <w:r w:rsidR="00A2433B">
              <w:rPr>
                <w:noProof/>
                <w:webHidden/>
              </w:rPr>
              <w:tab/>
            </w:r>
            <w:r w:rsidR="00B65468">
              <w:rPr>
                <w:noProof/>
                <w:webHidden/>
              </w:rPr>
              <w:fldChar w:fldCharType="begin"/>
            </w:r>
            <w:r w:rsidR="00A2433B">
              <w:rPr>
                <w:noProof/>
                <w:webHidden/>
              </w:rPr>
              <w:instrText xml:space="preserve"> PAGEREF _Toc327516060 \h </w:instrText>
            </w:r>
            <w:r w:rsidR="00B65468">
              <w:rPr>
                <w:noProof/>
                <w:webHidden/>
              </w:rPr>
            </w:r>
            <w:r w:rsidR="00B65468">
              <w:rPr>
                <w:noProof/>
                <w:webHidden/>
              </w:rPr>
              <w:fldChar w:fldCharType="separate"/>
            </w:r>
            <w:r w:rsidR="00A2433B">
              <w:rPr>
                <w:noProof/>
                <w:webHidden/>
              </w:rPr>
              <w:t>1</w:t>
            </w:r>
            <w:r w:rsidR="00B65468">
              <w:rPr>
                <w:noProof/>
                <w:webHidden/>
              </w:rPr>
              <w:fldChar w:fldCharType="end"/>
            </w:r>
          </w:hyperlink>
        </w:p>
        <w:p w:rsidR="00A2433B" w:rsidRDefault="00DE56EA">
          <w:pPr>
            <w:pStyle w:val="TOC1"/>
            <w:tabs>
              <w:tab w:val="right" w:leader="dot" w:pos="9350"/>
            </w:tabs>
            <w:rPr>
              <w:rFonts w:asciiTheme="minorHAnsi" w:eastAsiaTheme="minorEastAsia" w:hAnsiTheme="minorHAnsi" w:cstheme="minorBidi"/>
              <w:noProof/>
              <w:sz w:val="22"/>
              <w:szCs w:val="22"/>
            </w:rPr>
          </w:pPr>
          <w:hyperlink w:anchor="_Toc327516061" w:history="1">
            <w:r w:rsidR="00A2433B" w:rsidRPr="0068397F">
              <w:rPr>
                <w:rStyle w:val="Hyperlink"/>
                <w:noProof/>
              </w:rPr>
              <w:t>APPENDIX C – WAWF Electronic Message Structure</w:t>
            </w:r>
            <w:r w:rsidR="00A2433B">
              <w:rPr>
                <w:noProof/>
                <w:webHidden/>
              </w:rPr>
              <w:tab/>
            </w:r>
            <w:r w:rsidR="00B65468">
              <w:rPr>
                <w:noProof/>
                <w:webHidden/>
              </w:rPr>
              <w:fldChar w:fldCharType="begin"/>
            </w:r>
            <w:r w:rsidR="00A2433B">
              <w:rPr>
                <w:noProof/>
                <w:webHidden/>
              </w:rPr>
              <w:instrText xml:space="preserve"> PAGEREF _Toc327516061 \h </w:instrText>
            </w:r>
            <w:r w:rsidR="00B65468">
              <w:rPr>
                <w:noProof/>
                <w:webHidden/>
              </w:rPr>
            </w:r>
            <w:r w:rsidR="00B65468">
              <w:rPr>
                <w:noProof/>
                <w:webHidden/>
              </w:rPr>
              <w:fldChar w:fldCharType="separate"/>
            </w:r>
            <w:r w:rsidR="00A2433B">
              <w:rPr>
                <w:noProof/>
                <w:webHidden/>
              </w:rPr>
              <w:t>1</w:t>
            </w:r>
            <w:r w:rsidR="00B65468">
              <w:rPr>
                <w:noProof/>
                <w:webHidden/>
              </w:rPr>
              <w:fldChar w:fldCharType="end"/>
            </w:r>
          </w:hyperlink>
        </w:p>
        <w:p w:rsidR="00A2433B" w:rsidRDefault="00DE56EA">
          <w:pPr>
            <w:pStyle w:val="TOC1"/>
            <w:tabs>
              <w:tab w:val="right" w:leader="dot" w:pos="9350"/>
            </w:tabs>
            <w:rPr>
              <w:rFonts w:asciiTheme="minorHAnsi" w:eastAsiaTheme="minorEastAsia" w:hAnsiTheme="minorHAnsi" w:cstheme="minorBidi"/>
              <w:noProof/>
              <w:sz w:val="22"/>
              <w:szCs w:val="22"/>
            </w:rPr>
          </w:pPr>
          <w:hyperlink w:anchor="_Toc327516062" w:history="1">
            <w:r w:rsidR="00A2433B" w:rsidRPr="0068397F">
              <w:rPr>
                <w:rStyle w:val="Hyperlink"/>
                <w:b/>
                <w:noProof/>
              </w:rPr>
              <w:t>APPENDIX D – ACRONYMS</w:t>
            </w:r>
            <w:r w:rsidR="00A2433B">
              <w:rPr>
                <w:noProof/>
                <w:webHidden/>
              </w:rPr>
              <w:tab/>
            </w:r>
            <w:r w:rsidR="00B65468">
              <w:rPr>
                <w:noProof/>
                <w:webHidden/>
              </w:rPr>
              <w:fldChar w:fldCharType="begin"/>
            </w:r>
            <w:r w:rsidR="00A2433B">
              <w:rPr>
                <w:noProof/>
                <w:webHidden/>
              </w:rPr>
              <w:instrText xml:space="preserve"> PAGEREF _Toc327516062 \h </w:instrText>
            </w:r>
            <w:r w:rsidR="00B65468">
              <w:rPr>
                <w:noProof/>
                <w:webHidden/>
              </w:rPr>
            </w:r>
            <w:r w:rsidR="00B65468">
              <w:rPr>
                <w:noProof/>
                <w:webHidden/>
              </w:rPr>
              <w:fldChar w:fldCharType="separate"/>
            </w:r>
            <w:r w:rsidR="00A2433B">
              <w:rPr>
                <w:noProof/>
                <w:webHidden/>
              </w:rPr>
              <w:t>2</w:t>
            </w:r>
            <w:r w:rsidR="00B65468">
              <w:rPr>
                <w:noProof/>
                <w:webHidden/>
              </w:rPr>
              <w:fldChar w:fldCharType="end"/>
            </w:r>
          </w:hyperlink>
        </w:p>
        <w:p w:rsidR="008F0AA8" w:rsidRDefault="00B65468">
          <w:r>
            <w:fldChar w:fldCharType="end"/>
          </w:r>
        </w:p>
      </w:sdtContent>
    </w:sdt>
    <w:p w:rsidR="00E66394" w:rsidRDefault="00E66394">
      <w:pPr>
        <w:spacing w:before="0"/>
        <w:rPr>
          <w:b/>
          <w:sz w:val="26"/>
        </w:rPr>
      </w:pPr>
      <w:r>
        <w:rPr>
          <w:b/>
          <w:sz w:val="26"/>
        </w:rPr>
        <w:br w:type="page"/>
      </w:r>
    </w:p>
    <w:p w:rsidR="00A3575B" w:rsidRDefault="00A3575B">
      <w:pPr>
        <w:spacing w:before="0"/>
        <w:rPr>
          <w:b/>
          <w:sz w:val="26"/>
        </w:rPr>
      </w:pPr>
    </w:p>
    <w:p w:rsidR="00A3575B" w:rsidRDefault="00A3575B">
      <w:pPr>
        <w:spacing w:before="0"/>
        <w:rPr>
          <w:b/>
          <w:sz w:val="26"/>
        </w:rPr>
      </w:pPr>
      <w:r>
        <w:rPr>
          <w:b/>
          <w:sz w:val="26"/>
        </w:rPr>
        <w:t>List of Figures</w:t>
      </w:r>
    </w:p>
    <w:p w:rsidR="00A2433B" w:rsidRDefault="00B65468">
      <w:pPr>
        <w:pStyle w:val="TableofFigures"/>
        <w:tabs>
          <w:tab w:val="right" w:leader="dot" w:pos="9350"/>
        </w:tabs>
        <w:rPr>
          <w:rFonts w:asciiTheme="minorHAnsi" w:eastAsiaTheme="minorEastAsia" w:hAnsiTheme="minorHAnsi" w:cstheme="minorBidi"/>
          <w:noProof/>
          <w:sz w:val="22"/>
          <w:szCs w:val="22"/>
        </w:rPr>
      </w:pPr>
      <w:r>
        <w:rPr>
          <w:b/>
          <w:sz w:val="26"/>
        </w:rPr>
        <w:fldChar w:fldCharType="begin"/>
      </w:r>
      <w:r w:rsidR="003D6160">
        <w:rPr>
          <w:b/>
          <w:sz w:val="26"/>
        </w:rPr>
        <w:instrText xml:space="preserve"> TOC \h \z \c "Figure" </w:instrText>
      </w:r>
      <w:r>
        <w:rPr>
          <w:b/>
          <w:sz w:val="26"/>
        </w:rPr>
        <w:fldChar w:fldCharType="separate"/>
      </w:r>
      <w:hyperlink w:anchor="_Toc327516063" w:history="1">
        <w:r w:rsidR="00A2433B" w:rsidRPr="009E4EAB">
          <w:rPr>
            <w:rStyle w:val="Hyperlink"/>
            <w:noProof/>
          </w:rPr>
          <w:t>Figure 1. Property Transaction Touch Points</w:t>
        </w:r>
        <w:r w:rsidR="00A2433B">
          <w:rPr>
            <w:noProof/>
            <w:webHidden/>
          </w:rPr>
          <w:tab/>
        </w:r>
        <w:r>
          <w:rPr>
            <w:noProof/>
            <w:webHidden/>
          </w:rPr>
          <w:fldChar w:fldCharType="begin"/>
        </w:r>
        <w:r w:rsidR="00A2433B">
          <w:rPr>
            <w:noProof/>
            <w:webHidden/>
          </w:rPr>
          <w:instrText xml:space="preserve"> PAGEREF _Toc327516063 \h </w:instrText>
        </w:r>
        <w:r>
          <w:rPr>
            <w:noProof/>
            <w:webHidden/>
          </w:rPr>
        </w:r>
        <w:r>
          <w:rPr>
            <w:noProof/>
            <w:webHidden/>
          </w:rPr>
          <w:fldChar w:fldCharType="separate"/>
        </w:r>
        <w:r w:rsidR="00A2433B">
          <w:rPr>
            <w:noProof/>
            <w:webHidden/>
          </w:rPr>
          <w:t>10</w:t>
        </w:r>
        <w:r>
          <w:rPr>
            <w:noProof/>
            <w:webHidden/>
          </w:rPr>
          <w:fldChar w:fldCharType="end"/>
        </w:r>
      </w:hyperlink>
    </w:p>
    <w:p w:rsidR="00A2433B" w:rsidRDefault="00DE56EA">
      <w:pPr>
        <w:pStyle w:val="TableofFigures"/>
        <w:tabs>
          <w:tab w:val="right" w:leader="dot" w:pos="9350"/>
        </w:tabs>
        <w:rPr>
          <w:rFonts w:asciiTheme="minorHAnsi" w:eastAsiaTheme="minorEastAsia" w:hAnsiTheme="minorHAnsi" w:cstheme="minorBidi"/>
          <w:noProof/>
          <w:sz w:val="22"/>
          <w:szCs w:val="22"/>
        </w:rPr>
      </w:pPr>
      <w:hyperlink w:anchor="_Toc327516064" w:history="1">
        <w:r w:rsidR="00A2433B" w:rsidRPr="009E4EAB">
          <w:rPr>
            <w:rStyle w:val="Hyperlink"/>
            <w:noProof/>
          </w:rPr>
          <w:t>Figure 2. GFP Baseline Establishment Approach</w:t>
        </w:r>
        <w:r w:rsidR="00A2433B">
          <w:rPr>
            <w:noProof/>
            <w:webHidden/>
          </w:rPr>
          <w:tab/>
        </w:r>
        <w:r w:rsidR="00B65468">
          <w:rPr>
            <w:noProof/>
            <w:webHidden/>
          </w:rPr>
          <w:fldChar w:fldCharType="begin"/>
        </w:r>
        <w:r w:rsidR="00A2433B">
          <w:rPr>
            <w:noProof/>
            <w:webHidden/>
          </w:rPr>
          <w:instrText xml:space="preserve"> PAGEREF _Toc327516064 \h </w:instrText>
        </w:r>
        <w:r w:rsidR="00B65468">
          <w:rPr>
            <w:noProof/>
            <w:webHidden/>
          </w:rPr>
        </w:r>
        <w:r w:rsidR="00B65468">
          <w:rPr>
            <w:noProof/>
            <w:webHidden/>
          </w:rPr>
          <w:fldChar w:fldCharType="separate"/>
        </w:r>
        <w:r w:rsidR="00A2433B">
          <w:rPr>
            <w:noProof/>
            <w:webHidden/>
          </w:rPr>
          <w:t>11</w:t>
        </w:r>
        <w:r w:rsidR="00B65468">
          <w:rPr>
            <w:noProof/>
            <w:webHidden/>
          </w:rPr>
          <w:fldChar w:fldCharType="end"/>
        </w:r>
      </w:hyperlink>
    </w:p>
    <w:p w:rsidR="00A2433B" w:rsidRDefault="00DE56EA">
      <w:pPr>
        <w:pStyle w:val="TableofFigures"/>
        <w:tabs>
          <w:tab w:val="right" w:leader="dot" w:pos="9350"/>
        </w:tabs>
        <w:rPr>
          <w:rFonts w:asciiTheme="minorHAnsi" w:eastAsiaTheme="minorEastAsia" w:hAnsiTheme="minorHAnsi" w:cstheme="minorBidi"/>
          <w:noProof/>
          <w:sz w:val="22"/>
          <w:szCs w:val="22"/>
        </w:rPr>
      </w:pPr>
      <w:hyperlink w:anchor="_Toc327516065" w:history="1">
        <w:r w:rsidR="00A2433B" w:rsidRPr="009E4EAB">
          <w:rPr>
            <w:rStyle w:val="Hyperlink"/>
            <w:noProof/>
          </w:rPr>
          <w:t>Figure 3. GFP Lifecycle</w:t>
        </w:r>
        <w:r w:rsidR="00A2433B">
          <w:rPr>
            <w:noProof/>
            <w:webHidden/>
          </w:rPr>
          <w:tab/>
        </w:r>
        <w:r w:rsidR="00B65468">
          <w:rPr>
            <w:noProof/>
            <w:webHidden/>
          </w:rPr>
          <w:fldChar w:fldCharType="begin"/>
        </w:r>
        <w:r w:rsidR="00A2433B">
          <w:rPr>
            <w:noProof/>
            <w:webHidden/>
          </w:rPr>
          <w:instrText xml:space="preserve"> PAGEREF _Toc327516065 \h </w:instrText>
        </w:r>
        <w:r w:rsidR="00B65468">
          <w:rPr>
            <w:noProof/>
            <w:webHidden/>
          </w:rPr>
        </w:r>
        <w:r w:rsidR="00B65468">
          <w:rPr>
            <w:noProof/>
            <w:webHidden/>
          </w:rPr>
          <w:fldChar w:fldCharType="separate"/>
        </w:r>
        <w:r w:rsidR="00A2433B">
          <w:rPr>
            <w:noProof/>
            <w:webHidden/>
          </w:rPr>
          <w:t>13</w:t>
        </w:r>
        <w:r w:rsidR="00B65468">
          <w:rPr>
            <w:noProof/>
            <w:webHidden/>
          </w:rPr>
          <w:fldChar w:fldCharType="end"/>
        </w:r>
      </w:hyperlink>
    </w:p>
    <w:p w:rsidR="00A2433B" w:rsidRDefault="00DE56EA">
      <w:pPr>
        <w:pStyle w:val="TableofFigures"/>
        <w:tabs>
          <w:tab w:val="right" w:leader="dot" w:pos="9350"/>
        </w:tabs>
        <w:rPr>
          <w:rFonts w:asciiTheme="minorHAnsi" w:eastAsiaTheme="minorEastAsia" w:hAnsiTheme="minorHAnsi" w:cstheme="minorBidi"/>
          <w:noProof/>
          <w:sz w:val="22"/>
          <w:szCs w:val="22"/>
        </w:rPr>
      </w:pPr>
      <w:hyperlink w:anchor="_Toc327516066" w:history="1">
        <w:r w:rsidR="00A2433B" w:rsidRPr="009E4EAB">
          <w:rPr>
            <w:rStyle w:val="Hyperlink"/>
            <w:noProof/>
          </w:rPr>
          <w:t>Figure 4. WAWF Government to Vendor GFP Flow</w:t>
        </w:r>
        <w:r w:rsidR="00A2433B">
          <w:rPr>
            <w:noProof/>
            <w:webHidden/>
          </w:rPr>
          <w:tab/>
        </w:r>
        <w:r w:rsidR="00B65468">
          <w:rPr>
            <w:noProof/>
            <w:webHidden/>
          </w:rPr>
          <w:fldChar w:fldCharType="begin"/>
        </w:r>
        <w:r w:rsidR="00A2433B">
          <w:rPr>
            <w:noProof/>
            <w:webHidden/>
          </w:rPr>
          <w:instrText xml:space="preserve"> PAGEREF _Toc327516066 \h </w:instrText>
        </w:r>
        <w:r w:rsidR="00B65468">
          <w:rPr>
            <w:noProof/>
            <w:webHidden/>
          </w:rPr>
        </w:r>
        <w:r w:rsidR="00B65468">
          <w:rPr>
            <w:noProof/>
            <w:webHidden/>
          </w:rPr>
          <w:fldChar w:fldCharType="separate"/>
        </w:r>
        <w:r w:rsidR="00A2433B">
          <w:rPr>
            <w:noProof/>
            <w:webHidden/>
          </w:rPr>
          <w:t>15</w:t>
        </w:r>
        <w:r w:rsidR="00B65468">
          <w:rPr>
            <w:noProof/>
            <w:webHidden/>
          </w:rPr>
          <w:fldChar w:fldCharType="end"/>
        </w:r>
      </w:hyperlink>
    </w:p>
    <w:p w:rsidR="00A2433B" w:rsidRDefault="00DE56EA">
      <w:pPr>
        <w:pStyle w:val="TableofFigures"/>
        <w:tabs>
          <w:tab w:val="right" w:leader="dot" w:pos="9350"/>
        </w:tabs>
        <w:rPr>
          <w:rFonts w:asciiTheme="minorHAnsi" w:eastAsiaTheme="minorEastAsia" w:hAnsiTheme="minorHAnsi" w:cstheme="minorBidi"/>
          <w:noProof/>
          <w:sz w:val="22"/>
          <w:szCs w:val="22"/>
        </w:rPr>
      </w:pPr>
      <w:hyperlink w:anchor="_Toc327516067" w:history="1">
        <w:r w:rsidR="00A2433B" w:rsidRPr="009E4EAB">
          <w:rPr>
            <w:rStyle w:val="Hyperlink"/>
            <w:noProof/>
          </w:rPr>
          <w:t>Figure 5 WAWF Contractor Receipt Acknowledgement Flow</w:t>
        </w:r>
        <w:r w:rsidR="00A2433B">
          <w:rPr>
            <w:noProof/>
            <w:webHidden/>
          </w:rPr>
          <w:tab/>
        </w:r>
        <w:r w:rsidR="00B65468">
          <w:rPr>
            <w:noProof/>
            <w:webHidden/>
          </w:rPr>
          <w:fldChar w:fldCharType="begin"/>
        </w:r>
        <w:r w:rsidR="00A2433B">
          <w:rPr>
            <w:noProof/>
            <w:webHidden/>
          </w:rPr>
          <w:instrText xml:space="preserve"> PAGEREF _Toc327516067 \h </w:instrText>
        </w:r>
        <w:r w:rsidR="00B65468">
          <w:rPr>
            <w:noProof/>
            <w:webHidden/>
          </w:rPr>
        </w:r>
        <w:r w:rsidR="00B65468">
          <w:rPr>
            <w:noProof/>
            <w:webHidden/>
          </w:rPr>
          <w:fldChar w:fldCharType="separate"/>
        </w:r>
        <w:r w:rsidR="00A2433B">
          <w:rPr>
            <w:noProof/>
            <w:webHidden/>
          </w:rPr>
          <w:t>16</w:t>
        </w:r>
        <w:r w:rsidR="00B65468">
          <w:rPr>
            <w:noProof/>
            <w:webHidden/>
          </w:rPr>
          <w:fldChar w:fldCharType="end"/>
        </w:r>
      </w:hyperlink>
    </w:p>
    <w:p w:rsidR="00A2433B" w:rsidRDefault="00DE56EA">
      <w:pPr>
        <w:pStyle w:val="TableofFigures"/>
        <w:tabs>
          <w:tab w:val="right" w:leader="dot" w:pos="9350"/>
        </w:tabs>
        <w:rPr>
          <w:rFonts w:asciiTheme="minorHAnsi" w:eastAsiaTheme="minorEastAsia" w:hAnsiTheme="minorHAnsi" w:cstheme="minorBidi"/>
          <w:noProof/>
          <w:sz w:val="22"/>
          <w:szCs w:val="22"/>
        </w:rPr>
      </w:pPr>
      <w:hyperlink w:anchor="_Toc327516068" w:history="1">
        <w:r w:rsidR="00A2433B" w:rsidRPr="009E4EAB">
          <w:rPr>
            <w:rStyle w:val="Hyperlink"/>
            <w:noProof/>
          </w:rPr>
          <w:t>Figure 6 Contractor Unilateral GFP Receipt via WAWF</w:t>
        </w:r>
        <w:r w:rsidR="00A2433B">
          <w:rPr>
            <w:noProof/>
            <w:webHidden/>
          </w:rPr>
          <w:tab/>
        </w:r>
        <w:r w:rsidR="00B65468">
          <w:rPr>
            <w:noProof/>
            <w:webHidden/>
          </w:rPr>
          <w:fldChar w:fldCharType="begin"/>
        </w:r>
        <w:r w:rsidR="00A2433B">
          <w:rPr>
            <w:noProof/>
            <w:webHidden/>
          </w:rPr>
          <w:instrText xml:space="preserve"> PAGEREF _Toc327516068 \h </w:instrText>
        </w:r>
        <w:r w:rsidR="00B65468">
          <w:rPr>
            <w:noProof/>
            <w:webHidden/>
          </w:rPr>
        </w:r>
        <w:r w:rsidR="00B65468">
          <w:rPr>
            <w:noProof/>
            <w:webHidden/>
          </w:rPr>
          <w:fldChar w:fldCharType="separate"/>
        </w:r>
        <w:r w:rsidR="00A2433B">
          <w:rPr>
            <w:noProof/>
            <w:webHidden/>
          </w:rPr>
          <w:t>17</w:t>
        </w:r>
        <w:r w:rsidR="00B65468">
          <w:rPr>
            <w:noProof/>
            <w:webHidden/>
          </w:rPr>
          <w:fldChar w:fldCharType="end"/>
        </w:r>
      </w:hyperlink>
    </w:p>
    <w:p w:rsidR="00A2433B" w:rsidRDefault="00DE56EA">
      <w:pPr>
        <w:pStyle w:val="TableofFigures"/>
        <w:tabs>
          <w:tab w:val="right" w:leader="dot" w:pos="9350"/>
        </w:tabs>
        <w:rPr>
          <w:rFonts w:asciiTheme="minorHAnsi" w:eastAsiaTheme="minorEastAsia" w:hAnsiTheme="minorHAnsi" w:cstheme="minorBidi"/>
          <w:noProof/>
          <w:sz w:val="22"/>
          <w:szCs w:val="22"/>
        </w:rPr>
      </w:pPr>
      <w:hyperlink w:anchor="_Toc327516069" w:history="1">
        <w:r w:rsidR="00A2433B" w:rsidRPr="009E4EAB">
          <w:rPr>
            <w:rStyle w:val="Hyperlink"/>
            <w:noProof/>
          </w:rPr>
          <w:t>Figure 7. GFP Return Decision Tree</w:t>
        </w:r>
        <w:r w:rsidR="00A2433B">
          <w:rPr>
            <w:noProof/>
            <w:webHidden/>
          </w:rPr>
          <w:tab/>
        </w:r>
        <w:r w:rsidR="00B65468">
          <w:rPr>
            <w:noProof/>
            <w:webHidden/>
          </w:rPr>
          <w:fldChar w:fldCharType="begin"/>
        </w:r>
        <w:r w:rsidR="00A2433B">
          <w:rPr>
            <w:noProof/>
            <w:webHidden/>
          </w:rPr>
          <w:instrText xml:space="preserve"> PAGEREF _Toc327516069 \h </w:instrText>
        </w:r>
        <w:r w:rsidR="00B65468">
          <w:rPr>
            <w:noProof/>
            <w:webHidden/>
          </w:rPr>
        </w:r>
        <w:r w:rsidR="00B65468">
          <w:rPr>
            <w:noProof/>
            <w:webHidden/>
          </w:rPr>
          <w:fldChar w:fldCharType="separate"/>
        </w:r>
        <w:r w:rsidR="00A2433B">
          <w:rPr>
            <w:noProof/>
            <w:webHidden/>
          </w:rPr>
          <w:t>18</w:t>
        </w:r>
        <w:r w:rsidR="00B65468">
          <w:rPr>
            <w:noProof/>
            <w:webHidden/>
          </w:rPr>
          <w:fldChar w:fldCharType="end"/>
        </w:r>
      </w:hyperlink>
    </w:p>
    <w:p w:rsidR="00A2433B" w:rsidRDefault="00DE56EA">
      <w:pPr>
        <w:pStyle w:val="TableofFigures"/>
        <w:tabs>
          <w:tab w:val="right" w:leader="dot" w:pos="9350"/>
        </w:tabs>
        <w:rPr>
          <w:rFonts w:asciiTheme="minorHAnsi" w:eastAsiaTheme="minorEastAsia" w:hAnsiTheme="minorHAnsi" w:cstheme="minorBidi"/>
          <w:noProof/>
          <w:sz w:val="22"/>
          <w:szCs w:val="22"/>
        </w:rPr>
      </w:pPr>
      <w:hyperlink w:anchor="_Toc327516070" w:history="1">
        <w:r w:rsidR="00A2433B" w:rsidRPr="009E4EAB">
          <w:rPr>
            <w:rStyle w:val="Hyperlink"/>
            <w:noProof/>
          </w:rPr>
          <w:t>Figure 8. GFP Return from Contractor via WAWF</w:t>
        </w:r>
        <w:r w:rsidR="00A2433B">
          <w:rPr>
            <w:noProof/>
            <w:webHidden/>
          </w:rPr>
          <w:tab/>
        </w:r>
        <w:r w:rsidR="00B65468">
          <w:rPr>
            <w:noProof/>
            <w:webHidden/>
          </w:rPr>
          <w:fldChar w:fldCharType="begin"/>
        </w:r>
        <w:r w:rsidR="00A2433B">
          <w:rPr>
            <w:noProof/>
            <w:webHidden/>
          </w:rPr>
          <w:instrText xml:space="preserve"> PAGEREF _Toc327516070 \h </w:instrText>
        </w:r>
        <w:r w:rsidR="00B65468">
          <w:rPr>
            <w:noProof/>
            <w:webHidden/>
          </w:rPr>
        </w:r>
        <w:r w:rsidR="00B65468">
          <w:rPr>
            <w:noProof/>
            <w:webHidden/>
          </w:rPr>
          <w:fldChar w:fldCharType="separate"/>
        </w:r>
        <w:r w:rsidR="00A2433B">
          <w:rPr>
            <w:noProof/>
            <w:webHidden/>
          </w:rPr>
          <w:t>19</w:t>
        </w:r>
        <w:r w:rsidR="00B65468">
          <w:rPr>
            <w:noProof/>
            <w:webHidden/>
          </w:rPr>
          <w:fldChar w:fldCharType="end"/>
        </w:r>
      </w:hyperlink>
    </w:p>
    <w:p w:rsidR="00A2433B" w:rsidRDefault="00DE56EA">
      <w:pPr>
        <w:pStyle w:val="TableofFigures"/>
        <w:tabs>
          <w:tab w:val="right" w:leader="dot" w:pos="9350"/>
        </w:tabs>
        <w:rPr>
          <w:rFonts w:asciiTheme="minorHAnsi" w:eastAsiaTheme="minorEastAsia" w:hAnsiTheme="minorHAnsi" w:cstheme="minorBidi"/>
          <w:noProof/>
          <w:sz w:val="22"/>
          <w:szCs w:val="22"/>
        </w:rPr>
      </w:pPr>
      <w:hyperlink w:anchor="_Toc327516071" w:history="1">
        <w:r w:rsidR="00A2433B" w:rsidRPr="009E4EAB">
          <w:rPr>
            <w:rStyle w:val="Hyperlink"/>
            <w:noProof/>
          </w:rPr>
          <w:t>Figure 9. DoD GFP Return Receipt Acknowledgement via WAWF</w:t>
        </w:r>
        <w:r w:rsidR="00A2433B">
          <w:rPr>
            <w:noProof/>
            <w:webHidden/>
          </w:rPr>
          <w:tab/>
        </w:r>
        <w:r w:rsidR="00B65468">
          <w:rPr>
            <w:noProof/>
            <w:webHidden/>
          </w:rPr>
          <w:fldChar w:fldCharType="begin"/>
        </w:r>
        <w:r w:rsidR="00A2433B">
          <w:rPr>
            <w:noProof/>
            <w:webHidden/>
          </w:rPr>
          <w:instrText xml:space="preserve"> PAGEREF _Toc327516071 \h </w:instrText>
        </w:r>
        <w:r w:rsidR="00B65468">
          <w:rPr>
            <w:noProof/>
            <w:webHidden/>
          </w:rPr>
        </w:r>
        <w:r w:rsidR="00B65468">
          <w:rPr>
            <w:noProof/>
            <w:webHidden/>
          </w:rPr>
          <w:fldChar w:fldCharType="separate"/>
        </w:r>
        <w:r w:rsidR="00A2433B">
          <w:rPr>
            <w:noProof/>
            <w:webHidden/>
          </w:rPr>
          <w:t>20</w:t>
        </w:r>
        <w:r w:rsidR="00B65468">
          <w:rPr>
            <w:noProof/>
            <w:webHidden/>
          </w:rPr>
          <w:fldChar w:fldCharType="end"/>
        </w:r>
      </w:hyperlink>
    </w:p>
    <w:p w:rsidR="00A2433B" w:rsidRDefault="00DE56EA">
      <w:pPr>
        <w:pStyle w:val="TableofFigures"/>
        <w:tabs>
          <w:tab w:val="right" w:leader="dot" w:pos="9350"/>
        </w:tabs>
        <w:rPr>
          <w:rFonts w:asciiTheme="minorHAnsi" w:eastAsiaTheme="minorEastAsia" w:hAnsiTheme="minorHAnsi" w:cstheme="minorBidi"/>
          <w:noProof/>
          <w:sz w:val="22"/>
          <w:szCs w:val="22"/>
        </w:rPr>
      </w:pPr>
      <w:hyperlink w:anchor="_Toc327516072" w:history="1">
        <w:r w:rsidR="00A2433B" w:rsidRPr="009E4EAB">
          <w:rPr>
            <w:rStyle w:val="Hyperlink"/>
            <w:noProof/>
          </w:rPr>
          <w:t>Figure 10. GFP Returned as Embedded in New Item</w:t>
        </w:r>
        <w:r w:rsidR="00A2433B">
          <w:rPr>
            <w:noProof/>
            <w:webHidden/>
          </w:rPr>
          <w:tab/>
        </w:r>
        <w:r w:rsidR="00B65468">
          <w:rPr>
            <w:noProof/>
            <w:webHidden/>
          </w:rPr>
          <w:fldChar w:fldCharType="begin"/>
        </w:r>
        <w:r w:rsidR="00A2433B">
          <w:rPr>
            <w:noProof/>
            <w:webHidden/>
          </w:rPr>
          <w:instrText xml:space="preserve"> PAGEREF _Toc327516072 \h </w:instrText>
        </w:r>
        <w:r w:rsidR="00B65468">
          <w:rPr>
            <w:noProof/>
            <w:webHidden/>
          </w:rPr>
        </w:r>
        <w:r w:rsidR="00B65468">
          <w:rPr>
            <w:noProof/>
            <w:webHidden/>
          </w:rPr>
          <w:fldChar w:fldCharType="separate"/>
        </w:r>
        <w:r w:rsidR="00A2433B">
          <w:rPr>
            <w:noProof/>
            <w:webHidden/>
          </w:rPr>
          <w:t>21</w:t>
        </w:r>
        <w:r w:rsidR="00B65468">
          <w:rPr>
            <w:noProof/>
            <w:webHidden/>
          </w:rPr>
          <w:fldChar w:fldCharType="end"/>
        </w:r>
      </w:hyperlink>
    </w:p>
    <w:p w:rsidR="00A2433B" w:rsidRDefault="00DE56EA">
      <w:pPr>
        <w:pStyle w:val="TableofFigures"/>
        <w:tabs>
          <w:tab w:val="right" w:leader="dot" w:pos="9350"/>
        </w:tabs>
        <w:rPr>
          <w:rFonts w:asciiTheme="minorHAnsi" w:eastAsiaTheme="minorEastAsia" w:hAnsiTheme="minorHAnsi" w:cstheme="minorBidi"/>
          <w:noProof/>
          <w:sz w:val="22"/>
          <w:szCs w:val="22"/>
        </w:rPr>
      </w:pPr>
      <w:hyperlink w:anchor="_Toc327516073" w:history="1">
        <w:r w:rsidR="00A2433B" w:rsidRPr="009E4EAB">
          <w:rPr>
            <w:rStyle w:val="Hyperlink"/>
            <w:noProof/>
          </w:rPr>
          <w:t>Figure 11. Contractor Submission of RRR</w:t>
        </w:r>
        <w:r w:rsidR="00A2433B">
          <w:rPr>
            <w:noProof/>
            <w:webHidden/>
          </w:rPr>
          <w:tab/>
        </w:r>
        <w:r w:rsidR="00B65468">
          <w:rPr>
            <w:noProof/>
            <w:webHidden/>
          </w:rPr>
          <w:fldChar w:fldCharType="begin"/>
        </w:r>
        <w:r w:rsidR="00A2433B">
          <w:rPr>
            <w:noProof/>
            <w:webHidden/>
          </w:rPr>
          <w:instrText xml:space="preserve"> PAGEREF _Toc327516073 \h </w:instrText>
        </w:r>
        <w:r w:rsidR="00B65468">
          <w:rPr>
            <w:noProof/>
            <w:webHidden/>
          </w:rPr>
        </w:r>
        <w:r w:rsidR="00B65468">
          <w:rPr>
            <w:noProof/>
            <w:webHidden/>
          </w:rPr>
          <w:fldChar w:fldCharType="separate"/>
        </w:r>
        <w:r w:rsidR="00A2433B">
          <w:rPr>
            <w:noProof/>
            <w:webHidden/>
          </w:rPr>
          <w:t>21</w:t>
        </w:r>
        <w:r w:rsidR="00B65468">
          <w:rPr>
            <w:noProof/>
            <w:webHidden/>
          </w:rPr>
          <w:fldChar w:fldCharType="end"/>
        </w:r>
      </w:hyperlink>
    </w:p>
    <w:p w:rsidR="00A2433B" w:rsidRDefault="00DE56EA">
      <w:pPr>
        <w:pStyle w:val="TableofFigures"/>
        <w:tabs>
          <w:tab w:val="right" w:leader="dot" w:pos="9350"/>
        </w:tabs>
        <w:rPr>
          <w:rFonts w:asciiTheme="minorHAnsi" w:eastAsiaTheme="minorEastAsia" w:hAnsiTheme="minorHAnsi" w:cstheme="minorBidi"/>
          <w:noProof/>
          <w:sz w:val="22"/>
          <w:szCs w:val="22"/>
        </w:rPr>
      </w:pPr>
      <w:hyperlink w:anchor="_Toc327516074" w:history="1">
        <w:r w:rsidR="00A2433B" w:rsidRPr="009E4EAB">
          <w:rPr>
            <w:rStyle w:val="Hyperlink"/>
            <w:noProof/>
          </w:rPr>
          <w:t>Figure 12. GFP Return by acceptance of RRR</w:t>
        </w:r>
        <w:r w:rsidR="00A2433B">
          <w:rPr>
            <w:noProof/>
            <w:webHidden/>
          </w:rPr>
          <w:tab/>
        </w:r>
        <w:r w:rsidR="00B65468">
          <w:rPr>
            <w:noProof/>
            <w:webHidden/>
          </w:rPr>
          <w:fldChar w:fldCharType="begin"/>
        </w:r>
        <w:r w:rsidR="00A2433B">
          <w:rPr>
            <w:noProof/>
            <w:webHidden/>
          </w:rPr>
          <w:instrText xml:space="preserve"> PAGEREF _Toc327516074 \h </w:instrText>
        </w:r>
        <w:r w:rsidR="00B65468">
          <w:rPr>
            <w:noProof/>
            <w:webHidden/>
          </w:rPr>
        </w:r>
        <w:r w:rsidR="00B65468">
          <w:rPr>
            <w:noProof/>
            <w:webHidden/>
          </w:rPr>
          <w:fldChar w:fldCharType="separate"/>
        </w:r>
        <w:r w:rsidR="00A2433B">
          <w:rPr>
            <w:noProof/>
            <w:webHidden/>
          </w:rPr>
          <w:t>22</w:t>
        </w:r>
        <w:r w:rsidR="00B65468">
          <w:rPr>
            <w:noProof/>
            <w:webHidden/>
          </w:rPr>
          <w:fldChar w:fldCharType="end"/>
        </w:r>
      </w:hyperlink>
    </w:p>
    <w:p w:rsidR="00A2433B" w:rsidRDefault="00DE56EA">
      <w:pPr>
        <w:pStyle w:val="TableofFigures"/>
        <w:tabs>
          <w:tab w:val="right" w:leader="dot" w:pos="9350"/>
        </w:tabs>
        <w:rPr>
          <w:rFonts w:asciiTheme="minorHAnsi" w:eastAsiaTheme="minorEastAsia" w:hAnsiTheme="minorHAnsi" w:cstheme="minorBidi"/>
          <w:noProof/>
          <w:sz w:val="22"/>
          <w:szCs w:val="22"/>
        </w:rPr>
      </w:pPr>
      <w:hyperlink w:anchor="_Toc327516075" w:history="1">
        <w:r w:rsidR="00A2433B" w:rsidRPr="009E4EAB">
          <w:rPr>
            <w:rStyle w:val="Hyperlink"/>
            <w:noProof/>
          </w:rPr>
          <w:t>Figure 13. GFP Incident to Support Contract</w:t>
        </w:r>
        <w:r w:rsidR="00A2433B">
          <w:rPr>
            <w:noProof/>
            <w:webHidden/>
          </w:rPr>
          <w:tab/>
        </w:r>
        <w:r w:rsidR="00B65468">
          <w:rPr>
            <w:noProof/>
            <w:webHidden/>
          </w:rPr>
          <w:fldChar w:fldCharType="begin"/>
        </w:r>
        <w:r w:rsidR="00A2433B">
          <w:rPr>
            <w:noProof/>
            <w:webHidden/>
          </w:rPr>
          <w:instrText xml:space="preserve"> PAGEREF _Toc327516075 \h </w:instrText>
        </w:r>
        <w:r w:rsidR="00B65468">
          <w:rPr>
            <w:noProof/>
            <w:webHidden/>
          </w:rPr>
        </w:r>
        <w:r w:rsidR="00B65468">
          <w:rPr>
            <w:noProof/>
            <w:webHidden/>
          </w:rPr>
          <w:fldChar w:fldCharType="separate"/>
        </w:r>
        <w:r w:rsidR="00A2433B">
          <w:rPr>
            <w:noProof/>
            <w:webHidden/>
          </w:rPr>
          <w:t>23</w:t>
        </w:r>
        <w:r w:rsidR="00B65468">
          <w:rPr>
            <w:noProof/>
            <w:webHidden/>
          </w:rPr>
          <w:fldChar w:fldCharType="end"/>
        </w:r>
      </w:hyperlink>
    </w:p>
    <w:p w:rsidR="003D6160" w:rsidRDefault="00B65468">
      <w:pPr>
        <w:spacing w:before="0"/>
        <w:rPr>
          <w:rFonts w:ascii="Arial" w:hAnsi="Arial" w:cs="Arial"/>
          <w:bCs/>
          <w:kern w:val="32"/>
          <w:sz w:val="26"/>
          <w:szCs w:val="32"/>
        </w:rPr>
      </w:pPr>
      <w:r>
        <w:rPr>
          <w:b/>
          <w:sz w:val="26"/>
        </w:rPr>
        <w:fldChar w:fldCharType="end"/>
      </w:r>
      <w:r w:rsidR="003D6160">
        <w:rPr>
          <w:b/>
          <w:sz w:val="26"/>
        </w:rPr>
        <w:br w:type="page"/>
      </w:r>
    </w:p>
    <w:p w:rsidR="0098713A" w:rsidRDefault="0098713A" w:rsidP="00193132">
      <w:pPr>
        <w:pStyle w:val="Heading1"/>
        <w:rPr>
          <w:b w:val="0"/>
        </w:rPr>
      </w:pPr>
      <w:bookmarkStart w:id="2" w:name="_Toc327516029"/>
      <w:proofErr w:type="gramStart"/>
      <w:r w:rsidRPr="005A2188">
        <w:rPr>
          <w:b w:val="0"/>
          <w:sz w:val="26"/>
        </w:rPr>
        <w:t xml:space="preserve">1.0 </w:t>
      </w:r>
      <w:r w:rsidR="00D13AF5" w:rsidRPr="005A2188">
        <w:rPr>
          <w:b w:val="0"/>
          <w:sz w:val="26"/>
        </w:rPr>
        <w:t xml:space="preserve"> </w:t>
      </w:r>
      <w:r w:rsidR="00367AB7">
        <w:rPr>
          <w:b w:val="0"/>
          <w:sz w:val="26"/>
        </w:rPr>
        <w:t>GOVERNMENT</w:t>
      </w:r>
      <w:proofErr w:type="gramEnd"/>
      <w:r w:rsidR="00367AB7">
        <w:rPr>
          <w:b w:val="0"/>
          <w:sz w:val="26"/>
        </w:rPr>
        <w:t xml:space="preserve"> FURNISHED PROPERTY</w:t>
      </w:r>
      <w:r w:rsidR="00E66394">
        <w:rPr>
          <w:b w:val="0"/>
          <w:sz w:val="26"/>
        </w:rPr>
        <w:t xml:space="preserve"> </w:t>
      </w:r>
      <w:r w:rsidR="00B77737">
        <w:rPr>
          <w:b w:val="0"/>
          <w:sz w:val="26"/>
        </w:rPr>
        <w:t>OPERATIONS</w:t>
      </w:r>
      <w:bookmarkEnd w:id="2"/>
    </w:p>
    <w:p w:rsidR="00A55278" w:rsidRDefault="00A55278" w:rsidP="00193132">
      <w:pPr>
        <w:pStyle w:val="Heading2"/>
        <w:rPr>
          <w:b w:val="0"/>
        </w:rPr>
      </w:pPr>
      <w:bookmarkStart w:id="3" w:name="_Toc327516030"/>
      <w:r>
        <w:rPr>
          <w:b w:val="0"/>
        </w:rPr>
        <w:t xml:space="preserve">1.1    </w:t>
      </w:r>
      <w:r w:rsidR="002C1715">
        <w:rPr>
          <w:b w:val="0"/>
        </w:rPr>
        <w:t>SCOPE/</w:t>
      </w:r>
      <w:r>
        <w:rPr>
          <w:b w:val="0"/>
        </w:rPr>
        <w:t>OVERVIEW</w:t>
      </w:r>
      <w:r w:rsidR="005A2188">
        <w:rPr>
          <w:b w:val="0"/>
        </w:rPr>
        <w:t>.</w:t>
      </w:r>
      <w:bookmarkEnd w:id="3"/>
      <w:r>
        <w:rPr>
          <w:b w:val="0"/>
        </w:rPr>
        <w:t xml:space="preserve"> </w:t>
      </w:r>
    </w:p>
    <w:p w:rsidR="00A55278" w:rsidRDefault="00A55278" w:rsidP="00A55278">
      <w:pPr>
        <w:spacing w:before="0"/>
      </w:pPr>
    </w:p>
    <w:p w:rsidR="00B271BD" w:rsidRDefault="00A55278" w:rsidP="00A55278">
      <w:pPr>
        <w:spacing w:before="0"/>
      </w:pPr>
      <w:r>
        <w:t xml:space="preserve">This guide is for use by </w:t>
      </w:r>
      <w:r w:rsidR="00B271BD">
        <w:t xml:space="preserve">government and industry </w:t>
      </w:r>
      <w:r>
        <w:t xml:space="preserve">program managers, logistics managers, </w:t>
      </w:r>
      <w:r w:rsidR="00393C8D">
        <w:t>Contracting Officers</w:t>
      </w:r>
      <w:r>
        <w:t xml:space="preserve">, </w:t>
      </w:r>
      <w:r w:rsidR="00393C8D">
        <w:t xml:space="preserve">Management Control Activity personnel, and </w:t>
      </w:r>
      <w:r w:rsidR="00B271BD">
        <w:t xml:space="preserve">Property Managers </w:t>
      </w:r>
      <w:r>
        <w:t xml:space="preserve">who </w:t>
      </w:r>
      <w:r w:rsidR="00B271BD">
        <w:t xml:space="preserve">are </w:t>
      </w:r>
      <w:r>
        <w:t xml:space="preserve">responsible for </w:t>
      </w:r>
      <w:r w:rsidR="00B271BD">
        <w:t xml:space="preserve">defining, providing, </w:t>
      </w:r>
      <w:r w:rsidR="00393C8D">
        <w:t xml:space="preserve">receiving </w:t>
      </w:r>
      <w:r w:rsidR="00B271BD">
        <w:t xml:space="preserve">and tracking Government Property that is, or is intended to be, in the custody of a contractor. </w:t>
      </w:r>
    </w:p>
    <w:p w:rsidR="00B271BD" w:rsidRDefault="00B271BD" w:rsidP="00A55278">
      <w:pPr>
        <w:spacing w:before="0"/>
      </w:pPr>
    </w:p>
    <w:p w:rsidR="00B271BD" w:rsidRDefault="00B271BD" w:rsidP="00A55278">
      <w:pPr>
        <w:spacing w:before="0"/>
      </w:pPr>
      <w:r>
        <w:t xml:space="preserve">This guide will address the process of establishing the baseline of Government Furnished Property (GFP) for both new and existing contracts. </w:t>
      </w:r>
      <w:r w:rsidR="00131775">
        <w:t>Once a baseline is in place, the processes to maintain currency of GFP across the enterprise is addressed. There are two basic types of GFP which drive similar, but slightly different processing:</w:t>
      </w:r>
    </w:p>
    <w:p w:rsidR="00A55278" w:rsidRDefault="00A55278" w:rsidP="00A55278">
      <w:pPr>
        <w:pStyle w:val="Header"/>
        <w:tabs>
          <w:tab w:val="clear" w:pos="4320"/>
          <w:tab w:val="clear" w:pos="8640"/>
        </w:tabs>
        <w:spacing w:before="0"/>
      </w:pPr>
    </w:p>
    <w:p w:rsidR="00B271BD" w:rsidRDefault="00B271BD" w:rsidP="00131775">
      <w:pPr>
        <w:numPr>
          <w:ilvl w:val="0"/>
          <w:numId w:val="35"/>
        </w:numPr>
        <w:spacing w:before="0"/>
      </w:pPr>
      <w:r>
        <w:t>GFP that has Item Unique Identification (IUID)</w:t>
      </w:r>
    </w:p>
    <w:p w:rsidR="00B271BD" w:rsidRDefault="00B271BD" w:rsidP="00A55278">
      <w:pPr>
        <w:numPr>
          <w:ilvl w:val="0"/>
          <w:numId w:val="35"/>
        </w:numPr>
        <w:spacing w:before="0"/>
      </w:pPr>
      <w:r>
        <w:t xml:space="preserve">GFP that is neither serialized nor </w:t>
      </w:r>
      <w:proofErr w:type="spellStart"/>
      <w:r>
        <w:t>IUID’d</w:t>
      </w:r>
      <w:proofErr w:type="spellEnd"/>
    </w:p>
    <w:p w:rsidR="009362F0" w:rsidRDefault="009362F0" w:rsidP="009362F0">
      <w:pPr>
        <w:spacing w:before="0"/>
      </w:pPr>
    </w:p>
    <w:p w:rsidR="009362F0" w:rsidRDefault="00393C8D" w:rsidP="009362F0">
      <w:pPr>
        <w:spacing w:before="0"/>
      </w:pPr>
      <w:r>
        <w:t>This guide is not intended to replace or contradict contractual requirements. It provides a framework from which to understand the tools and processes that are available to support various situations that require the transfer and reporting of GFP.</w:t>
      </w:r>
    </w:p>
    <w:p w:rsidR="00A55278" w:rsidRDefault="00A55278" w:rsidP="00B271BD">
      <w:pPr>
        <w:spacing w:before="0"/>
        <w:ind w:left="720"/>
      </w:pPr>
    </w:p>
    <w:p w:rsidR="00A55278" w:rsidRDefault="00A55278" w:rsidP="00193132">
      <w:pPr>
        <w:pStyle w:val="Heading2"/>
      </w:pPr>
      <w:bookmarkStart w:id="4" w:name="_Toc327516031"/>
      <w:r>
        <w:rPr>
          <w:b w:val="0"/>
        </w:rPr>
        <w:t>1.</w:t>
      </w:r>
      <w:r w:rsidR="002E0D37">
        <w:rPr>
          <w:b w:val="0"/>
        </w:rPr>
        <w:t>2</w:t>
      </w:r>
      <w:r w:rsidR="0098713A">
        <w:rPr>
          <w:b w:val="0"/>
        </w:rPr>
        <w:t>.   REGULATORY REQUIREMENTS</w:t>
      </w:r>
      <w:bookmarkEnd w:id="4"/>
      <w:r>
        <w:rPr>
          <w:b w:val="0"/>
        </w:rPr>
        <w:t xml:space="preserve"> </w:t>
      </w:r>
      <w:r>
        <w:t xml:space="preserve"> </w:t>
      </w:r>
    </w:p>
    <w:p w:rsidR="00A55278" w:rsidRDefault="00A55278" w:rsidP="00A55278">
      <w:pPr>
        <w:spacing w:before="0"/>
      </w:pPr>
    </w:p>
    <w:p w:rsidR="00D61A10" w:rsidRPr="0002160A" w:rsidRDefault="00D61A10" w:rsidP="00A55278">
      <w:pPr>
        <w:spacing w:before="0"/>
        <w:rPr>
          <w:szCs w:val="24"/>
        </w:rPr>
      </w:pPr>
      <w:r w:rsidRPr="0002160A">
        <w:rPr>
          <w:szCs w:val="24"/>
        </w:rPr>
        <w:t xml:space="preserve">The following excerpts from </w:t>
      </w:r>
      <w:proofErr w:type="gramStart"/>
      <w:r w:rsidRPr="0002160A">
        <w:rPr>
          <w:szCs w:val="24"/>
        </w:rPr>
        <w:t>DoD</w:t>
      </w:r>
      <w:proofErr w:type="gramEnd"/>
      <w:r w:rsidRPr="0002160A">
        <w:rPr>
          <w:szCs w:val="24"/>
        </w:rPr>
        <w:t xml:space="preserve"> policy and regulation outline the basis for the </w:t>
      </w:r>
      <w:r w:rsidR="005A4097" w:rsidRPr="0002160A">
        <w:rPr>
          <w:szCs w:val="24"/>
        </w:rPr>
        <w:t xml:space="preserve">procedures outlined in this document. The complete set of Regulations is included as Appendix </w:t>
      </w:r>
      <w:r w:rsidR="0078593E" w:rsidRPr="0002160A">
        <w:rPr>
          <w:szCs w:val="24"/>
        </w:rPr>
        <w:t>A</w:t>
      </w:r>
      <w:r w:rsidR="005A4097" w:rsidRPr="0002160A">
        <w:rPr>
          <w:szCs w:val="24"/>
        </w:rPr>
        <w:t>.</w:t>
      </w:r>
    </w:p>
    <w:p w:rsidR="00D61A10" w:rsidRPr="0002160A" w:rsidRDefault="00D61A10" w:rsidP="00A55278">
      <w:pPr>
        <w:spacing w:before="0"/>
        <w:rPr>
          <w:szCs w:val="24"/>
        </w:rPr>
      </w:pPr>
    </w:p>
    <w:p w:rsidR="00D57894" w:rsidRPr="0002160A" w:rsidRDefault="00D57894" w:rsidP="00A55278">
      <w:pPr>
        <w:spacing w:before="0"/>
        <w:rPr>
          <w:szCs w:val="24"/>
        </w:rPr>
      </w:pPr>
      <w:r w:rsidRPr="0002160A">
        <w:rPr>
          <w:szCs w:val="24"/>
        </w:rPr>
        <w:t>The DoD Instruction 5000.64 states:</w:t>
      </w:r>
    </w:p>
    <w:p w:rsidR="00D57894" w:rsidRPr="0002160A" w:rsidRDefault="00D57894" w:rsidP="00A63315">
      <w:pPr>
        <w:spacing w:before="0"/>
        <w:ind w:left="720"/>
        <w:rPr>
          <w:i/>
          <w:szCs w:val="24"/>
        </w:rPr>
      </w:pPr>
      <w:r w:rsidRPr="0002160A">
        <w:rPr>
          <w:i/>
          <w:szCs w:val="24"/>
        </w:rPr>
        <w:t>Although the Department of Defense may not have physical custody, in order to maintain effective property accountability and for financial reporting purposes, DoD Components shall establish and maintain records and accountability for property (of any value) furnished to contractors as Government furnished property (GFP).</w:t>
      </w:r>
    </w:p>
    <w:p w:rsidR="00D57894" w:rsidRPr="0002160A" w:rsidRDefault="00D57894" w:rsidP="00D57894">
      <w:pPr>
        <w:spacing w:before="0"/>
        <w:rPr>
          <w:i/>
          <w:szCs w:val="24"/>
        </w:rPr>
      </w:pPr>
    </w:p>
    <w:p w:rsidR="00D57894" w:rsidRPr="0002160A" w:rsidRDefault="00064381" w:rsidP="00D57894">
      <w:pPr>
        <w:spacing w:before="0"/>
        <w:rPr>
          <w:szCs w:val="24"/>
        </w:rPr>
      </w:pPr>
      <w:r w:rsidRPr="0002160A">
        <w:rPr>
          <w:szCs w:val="24"/>
        </w:rPr>
        <w:t>The DoD Instruction 8320</w:t>
      </w:r>
      <w:r w:rsidR="00D57894" w:rsidRPr="0002160A">
        <w:rPr>
          <w:szCs w:val="24"/>
        </w:rPr>
        <w:t>.04 establishes the IUID Registry as:</w:t>
      </w:r>
    </w:p>
    <w:p w:rsidR="00D57894" w:rsidRPr="0002160A" w:rsidRDefault="00D57894" w:rsidP="00D57894">
      <w:pPr>
        <w:spacing w:before="0"/>
        <w:rPr>
          <w:i/>
          <w:szCs w:val="24"/>
        </w:rPr>
      </w:pPr>
      <w:r w:rsidRPr="0002160A">
        <w:rPr>
          <w:szCs w:val="24"/>
        </w:rPr>
        <w:tab/>
      </w:r>
      <w:proofErr w:type="gramStart"/>
      <w:r w:rsidRPr="0002160A">
        <w:rPr>
          <w:i/>
          <w:szCs w:val="24"/>
        </w:rPr>
        <w:t>The master data source for Government Furnished Property (GFP).</w:t>
      </w:r>
      <w:proofErr w:type="gramEnd"/>
    </w:p>
    <w:p w:rsidR="00674A0E" w:rsidRPr="0002160A" w:rsidRDefault="00674A0E" w:rsidP="00D57894">
      <w:pPr>
        <w:spacing w:before="0"/>
        <w:rPr>
          <w:i/>
          <w:szCs w:val="24"/>
        </w:rPr>
      </w:pPr>
    </w:p>
    <w:p w:rsidR="00674A0E" w:rsidRPr="0002160A" w:rsidRDefault="00674A0E" w:rsidP="00D57894">
      <w:pPr>
        <w:spacing w:before="0"/>
        <w:rPr>
          <w:szCs w:val="24"/>
        </w:rPr>
      </w:pPr>
      <w:r w:rsidRPr="0002160A">
        <w:rPr>
          <w:szCs w:val="24"/>
        </w:rPr>
        <w:t>The DoD Instruction 4161.02 defines the methods to exchange GFP information between DoD Components and Contractors:</w:t>
      </w:r>
    </w:p>
    <w:p w:rsidR="00674A0E" w:rsidRPr="0002160A" w:rsidRDefault="00674A0E" w:rsidP="00674A0E">
      <w:pPr>
        <w:pStyle w:val="Default"/>
        <w:rPr>
          <w:i/>
        </w:rPr>
      </w:pPr>
      <w:r w:rsidRPr="0002160A">
        <w:tab/>
      </w:r>
      <w:r w:rsidRPr="0002160A">
        <w:rPr>
          <w:i/>
        </w:rPr>
        <w:t xml:space="preserve">The DoD Components shall: </w:t>
      </w:r>
    </w:p>
    <w:p w:rsidR="00674A0E" w:rsidRPr="0002160A" w:rsidRDefault="00674A0E" w:rsidP="00674A0E">
      <w:pPr>
        <w:autoSpaceDE w:val="0"/>
        <w:autoSpaceDN w:val="0"/>
        <w:adjustRightInd w:val="0"/>
        <w:spacing w:before="0"/>
        <w:ind w:left="720"/>
        <w:rPr>
          <w:i/>
          <w:color w:val="000000"/>
          <w:szCs w:val="24"/>
        </w:rPr>
      </w:pPr>
      <w:r w:rsidRPr="0002160A">
        <w:rPr>
          <w:i/>
          <w:color w:val="000000"/>
          <w:szCs w:val="24"/>
        </w:rPr>
        <w:t xml:space="preserve">a. Use electronic transactions when transferring Government property to a contractor and upon return of property to </w:t>
      </w:r>
      <w:proofErr w:type="gramStart"/>
      <w:r w:rsidRPr="0002160A">
        <w:rPr>
          <w:i/>
          <w:color w:val="000000"/>
          <w:szCs w:val="24"/>
        </w:rPr>
        <w:t>DoD</w:t>
      </w:r>
      <w:proofErr w:type="gramEnd"/>
      <w:r w:rsidRPr="0002160A">
        <w:rPr>
          <w:i/>
          <w:color w:val="000000"/>
          <w:szCs w:val="24"/>
        </w:rPr>
        <w:t xml:space="preserve">. </w:t>
      </w:r>
    </w:p>
    <w:p w:rsidR="00674A0E" w:rsidRPr="0002160A" w:rsidRDefault="00674A0E" w:rsidP="00674A0E">
      <w:pPr>
        <w:spacing w:before="0"/>
        <w:ind w:left="720"/>
        <w:rPr>
          <w:i/>
          <w:color w:val="000000"/>
          <w:szCs w:val="24"/>
        </w:rPr>
      </w:pPr>
      <w:r w:rsidRPr="0002160A">
        <w:rPr>
          <w:i/>
          <w:color w:val="000000"/>
          <w:szCs w:val="24"/>
        </w:rPr>
        <w:t>b. Require contractors to use the Wide Area Workflow (WAWF) to receipt property transfers or use DLMS standard logistic transaction set 527R, available on the DLMS Supplements page of the DLMS Website to provide materiel receipt acknowledgement citing the applicable contract number for property shipments.</w:t>
      </w:r>
    </w:p>
    <w:p w:rsidR="00CB459F" w:rsidRPr="0002160A" w:rsidRDefault="00CB459F" w:rsidP="00674A0E">
      <w:pPr>
        <w:spacing w:before="0"/>
        <w:ind w:left="720"/>
        <w:rPr>
          <w:i/>
          <w:color w:val="000000"/>
          <w:szCs w:val="24"/>
        </w:rPr>
      </w:pPr>
    </w:p>
    <w:p w:rsidR="00CB459F" w:rsidRPr="0002160A" w:rsidRDefault="00CB459F" w:rsidP="00CB459F">
      <w:pPr>
        <w:spacing w:before="0"/>
        <w:rPr>
          <w:color w:val="000000"/>
          <w:szCs w:val="24"/>
        </w:rPr>
      </w:pPr>
      <w:r w:rsidRPr="0002160A">
        <w:rPr>
          <w:color w:val="000000"/>
          <w:szCs w:val="24"/>
        </w:rPr>
        <w:t xml:space="preserve">The </w:t>
      </w:r>
      <w:r w:rsidR="00613237" w:rsidRPr="0002160A">
        <w:rPr>
          <w:color w:val="000000"/>
          <w:szCs w:val="24"/>
        </w:rPr>
        <w:t>DoD Regulation 4140</w:t>
      </w:r>
      <w:r w:rsidR="00A63315" w:rsidRPr="0002160A">
        <w:rPr>
          <w:color w:val="000000"/>
          <w:szCs w:val="24"/>
        </w:rPr>
        <w:t>.1-R</w:t>
      </w:r>
      <w:r w:rsidR="00613237" w:rsidRPr="0002160A">
        <w:rPr>
          <w:color w:val="000000"/>
          <w:szCs w:val="24"/>
        </w:rPr>
        <w:t xml:space="preserve">   requires inclusion of contractor assets in item levels:</w:t>
      </w:r>
    </w:p>
    <w:p w:rsidR="00613237" w:rsidRPr="0002160A" w:rsidRDefault="00613237" w:rsidP="00613237">
      <w:pPr>
        <w:autoSpaceDE w:val="0"/>
        <w:autoSpaceDN w:val="0"/>
        <w:adjustRightInd w:val="0"/>
        <w:spacing w:before="0"/>
        <w:ind w:left="720"/>
        <w:rPr>
          <w:i/>
          <w:szCs w:val="24"/>
        </w:rPr>
      </w:pPr>
      <w:r w:rsidRPr="0002160A">
        <w:rPr>
          <w:i/>
          <w:szCs w:val="24"/>
        </w:rPr>
        <w:t xml:space="preserve">C5.7.1.1.2.2. The IMM total item property record shall, as a minimum, include materiel that is due in, in-transit, in organic wholesale repair facilities, </w:t>
      </w:r>
      <w:r w:rsidRPr="0002160A">
        <w:rPr>
          <w:b/>
          <w:i/>
          <w:szCs w:val="24"/>
        </w:rPr>
        <w:t>in a contractor's custody</w:t>
      </w:r>
      <w:r w:rsidRPr="0002160A">
        <w:rPr>
          <w:i/>
          <w:szCs w:val="24"/>
        </w:rPr>
        <w:t>, on loan, on-hand in wholesale storage activities, reported on-hand at retail activities, and for reported assets in the custody of users.</w:t>
      </w:r>
    </w:p>
    <w:p w:rsidR="00A63315" w:rsidRPr="0002160A" w:rsidRDefault="00A63315" w:rsidP="00613237">
      <w:pPr>
        <w:autoSpaceDE w:val="0"/>
        <w:autoSpaceDN w:val="0"/>
        <w:adjustRightInd w:val="0"/>
        <w:spacing w:before="0"/>
        <w:ind w:left="720"/>
        <w:rPr>
          <w:i/>
          <w:szCs w:val="24"/>
        </w:rPr>
      </w:pPr>
    </w:p>
    <w:p w:rsidR="00A63315" w:rsidRPr="0002160A" w:rsidRDefault="00A63315" w:rsidP="00613237">
      <w:pPr>
        <w:autoSpaceDE w:val="0"/>
        <w:autoSpaceDN w:val="0"/>
        <w:adjustRightInd w:val="0"/>
        <w:spacing w:before="0"/>
        <w:ind w:left="720"/>
        <w:rPr>
          <w:szCs w:val="24"/>
        </w:rPr>
      </w:pPr>
      <w:r w:rsidRPr="0002160A">
        <w:rPr>
          <w:szCs w:val="24"/>
        </w:rPr>
        <w:t>This Regulation further identifies the oversight and control role of the Management Control Activity:</w:t>
      </w:r>
    </w:p>
    <w:p w:rsidR="00A63315" w:rsidRPr="0002160A" w:rsidRDefault="00A63315" w:rsidP="00A63315">
      <w:pPr>
        <w:autoSpaceDE w:val="0"/>
        <w:autoSpaceDN w:val="0"/>
        <w:adjustRightInd w:val="0"/>
        <w:spacing w:before="0"/>
        <w:ind w:firstLine="720"/>
        <w:rPr>
          <w:i/>
          <w:szCs w:val="24"/>
        </w:rPr>
      </w:pPr>
      <w:r w:rsidRPr="0002160A">
        <w:rPr>
          <w:i/>
          <w:szCs w:val="24"/>
        </w:rPr>
        <w:t xml:space="preserve">C5.11.2.1. Each </w:t>
      </w:r>
      <w:proofErr w:type="gramStart"/>
      <w:r w:rsidRPr="0002160A">
        <w:rPr>
          <w:i/>
          <w:szCs w:val="24"/>
        </w:rPr>
        <w:t>DoD</w:t>
      </w:r>
      <w:proofErr w:type="gramEnd"/>
      <w:r w:rsidRPr="0002160A">
        <w:rPr>
          <w:i/>
          <w:szCs w:val="24"/>
        </w:rPr>
        <w:t xml:space="preserve"> Component authorizing the use of DoD materiel by</w:t>
      </w:r>
    </w:p>
    <w:p w:rsidR="00A63315" w:rsidRPr="0002160A" w:rsidRDefault="00A63315" w:rsidP="00A63315">
      <w:pPr>
        <w:autoSpaceDE w:val="0"/>
        <w:autoSpaceDN w:val="0"/>
        <w:adjustRightInd w:val="0"/>
        <w:spacing w:before="0"/>
        <w:ind w:firstLine="720"/>
        <w:rPr>
          <w:i/>
          <w:szCs w:val="24"/>
        </w:rPr>
      </w:pPr>
      <w:proofErr w:type="gramStart"/>
      <w:r w:rsidRPr="0002160A">
        <w:rPr>
          <w:i/>
          <w:szCs w:val="24"/>
        </w:rPr>
        <w:t>contractors</w:t>
      </w:r>
      <w:proofErr w:type="gramEnd"/>
      <w:r w:rsidRPr="0002160A">
        <w:rPr>
          <w:i/>
          <w:szCs w:val="24"/>
        </w:rPr>
        <w:t xml:space="preserve"> shall establish one or more management control activities (MCAs) to</w:t>
      </w:r>
    </w:p>
    <w:p w:rsidR="00A63315" w:rsidRPr="0002160A" w:rsidRDefault="00A63315" w:rsidP="00A63315">
      <w:pPr>
        <w:autoSpaceDE w:val="0"/>
        <w:autoSpaceDN w:val="0"/>
        <w:adjustRightInd w:val="0"/>
        <w:spacing w:before="0"/>
        <w:ind w:left="720"/>
        <w:rPr>
          <w:i/>
          <w:szCs w:val="24"/>
        </w:rPr>
      </w:pPr>
      <w:proofErr w:type="gramStart"/>
      <w:r w:rsidRPr="0002160A">
        <w:rPr>
          <w:i/>
          <w:szCs w:val="24"/>
        </w:rPr>
        <w:t>maintain</w:t>
      </w:r>
      <w:proofErr w:type="gramEnd"/>
      <w:r w:rsidRPr="0002160A">
        <w:rPr>
          <w:i/>
          <w:szCs w:val="24"/>
        </w:rPr>
        <w:t xml:space="preserve"> control over all requisitions submitted to the DoD wholesale supply system by contractors and by DoD Component activities when such DoD Component activity requisitions indicate shipment to a contractor.</w:t>
      </w:r>
    </w:p>
    <w:p w:rsidR="00D57894" w:rsidRPr="0002160A" w:rsidRDefault="00D57894" w:rsidP="00A55278">
      <w:pPr>
        <w:spacing w:before="0"/>
        <w:rPr>
          <w:szCs w:val="24"/>
        </w:rPr>
      </w:pPr>
    </w:p>
    <w:p w:rsidR="00FF20E4" w:rsidRPr="0002160A" w:rsidRDefault="00064381" w:rsidP="00A55278">
      <w:pPr>
        <w:spacing w:before="0"/>
        <w:rPr>
          <w:szCs w:val="24"/>
        </w:rPr>
      </w:pPr>
      <w:r w:rsidRPr="0002160A">
        <w:rPr>
          <w:szCs w:val="24"/>
        </w:rPr>
        <w:t>T</w:t>
      </w:r>
      <w:r w:rsidR="00FF20E4" w:rsidRPr="0002160A">
        <w:rPr>
          <w:szCs w:val="24"/>
        </w:rPr>
        <w:t>he Procedures, Guidance, and Information (PGI) 245.103-71</w:t>
      </w:r>
      <w:r w:rsidRPr="0002160A">
        <w:rPr>
          <w:szCs w:val="24"/>
        </w:rPr>
        <w:t xml:space="preserve"> states</w:t>
      </w:r>
      <w:r w:rsidR="00131775" w:rsidRPr="0002160A">
        <w:rPr>
          <w:szCs w:val="24"/>
        </w:rPr>
        <w:t>:</w:t>
      </w:r>
    </w:p>
    <w:p w:rsidR="00FF20E4" w:rsidRPr="0002160A" w:rsidRDefault="00FF20E4" w:rsidP="00131775">
      <w:pPr>
        <w:spacing w:before="0"/>
        <w:ind w:left="720"/>
        <w:jc w:val="both"/>
        <w:rPr>
          <w:i/>
          <w:szCs w:val="24"/>
        </w:rPr>
      </w:pPr>
      <w:r w:rsidRPr="0002160A">
        <w:rPr>
          <w:i/>
          <w:szCs w:val="24"/>
        </w:rPr>
        <w:t>It is the responsibility of contracting officers/item managers to ensure that Government property transfers are properly reported electronically, including the initial furnishing by DoD of Government property and the subsequent transfer of such property to other contracts/contractors, or its return to the Government. DoD or contractor-operated logistics systems using Defense Logistics Management System (DLMS)-enhanced reporting capability, to include authorizing contract number and Item Unique Identification (IUID), when applicable, shall be employed to report initial shipment, receipt acknowledgement, or return of items of supply in accordance with MILSTRIP and Military Standard Transaction Reporting and Accounting Procedure(s) (MILSTRAP). Such use of the DLMS will satisfy Government property transfer reporting requirements. For other Government property items where the DLMS is not applicable, the DoD Wide-Area Workflow (WAWF) Government property transfer system functionality should be used to accomplish reporting requirements.</w:t>
      </w:r>
    </w:p>
    <w:p w:rsidR="00FF20E4" w:rsidRPr="0002160A" w:rsidRDefault="00FF20E4" w:rsidP="00A55278">
      <w:pPr>
        <w:spacing w:before="0"/>
        <w:rPr>
          <w:szCs w:val="24"/>
        </w:rPr>
      </w:pPr>
    </w:p>
    <w:p w:rsidR="00FF20E4" w:rsidRPr="0002160A" w:rsidRDefault="00064381" w:rsidP="00A55278">
      <w:pPr>
        <w:spacing w:before="0"/>
        <w:rPr>
          <w:szCs w:val="24"/>
        </w:rPr>
      </w:pPr>
      <w:r w:rsidRPr="0002160A">
        <w:rPr>
          <w:szCs w:val="24"/>
        </w:rPr>
        <w:t xml:space="preserve">These </w:t>
      </w:r>
      <w:proofErr w:type="gramStart"/>
      <w:r w:rsidRPr="0002160A">
        <w:rPr>
          <w:szCs w:val="24"/>
        </w:rPr>
        <w:t>documents,</w:t>
      </w:r>
      <w:proofErr w:type="gramEnd"/>
      <w:r w:rsidRPr="0002160A">
        <w:rPr>
          <w:szCs w:val="24"/>
        </w:rPr>
        <w:t xml:space="preserve"> and those listed in Appendix A, describe requirement</w:t>
      </w:r>
      <w:r w:rsidR="00A63315" w:rsidRPr="0002160A">
        <w:rPr>
          <w:szCs w:val="24"/>
        </w:rPr>
        <w:t>s</w:t>
      </w:r>
      <w:r w:rsidRPr="0002160A">
        <w:rPr>
          <w:szCs w:val="24"/>
        </w:rPr>
        <w:t xml:space="preserve"> to better plan, track and trace GFP. This document outlines the process and tools to accomplish those goals. </w:t>
      </w:r>
    </w:p>
    <w:p w:rsidR="006A6278" w:rsidRDefault="006A6278" w:rsidP="00A55278">
      <w:pPr>
        <w:spacing w:before="0"/>
        <w:rPr>
          <w:szCs w:val="24"/>
        </w:rPr>
      </w:pPr>
    </w:p>
    <w:p w:rsidR="006772D2" w:rsidRDefault="002E3931" w:rsidP="002E3931">
      <w:pPr>
        <w:pStyle w:val="Heading2"/>
        <w:rPr>
          <w:b w:val="0"/>
        </w:rPr>
      </w:pPr>
      <w:bookmarkStart w:id="5" w:name="_Toc327516032"/>
      <w:r>
        <w:rPr>
          <w:b w:val="0"/>
        </w:rPr>
        <w:t>1.3.   ENTERPRISE TOOLS</w:t>
      </w:r>
      <w:bookmarkEnd w:id="5"/>
    </w:p>
    <w:p w:rsidR="002E3931" w:rsidRPr="00B77737" w:rsidRDefault="006772D2" w:rsidP="00B77737">
      <w:pPr>
        <w:rPr>
          <w:sz w:val="26"/>
          <w:szCs w:val="26"/>
        </w:rPr>
      </w:pPr>
      <w:proofErr w:type="gramStart"/>
      <w:r w:rsidRPr="00B77737">
        <w:rPr>
          <w:sz w:val="26"/>
          <w:szCs w:val="26"/>
        </w:rPr>
        <w:t>DoD</w:t>
      </w:r>
      <w:proofErr w:type="gramEnd"/>
      <w:r w:rsidRPr="00B77737">
        <w:rPr>
          <w:sz w:val="26"/>
          <w:szCs w:val="26"/>
        </w:rPr>
        <w:t xml:space="preserve"> has developed the following tools that are available across the enterprise to enable efficient communication among Programs, Contractors, Property Systems and the Supply System.</w:t>
      </w:r>
    </w:p>
    <w:p w:rsidR="002E3931" w:rsidRDefault="002E3931" w:rsidP="002E3931">
      <w:pPr>
        <w:spacing w:before="0"/>
        <w:rPr>
          <w:bCs/>
          <w:sz w:val="26"/>
          <w:szCs w:val="24"/>
        </w:rPr>
      </w:pPr>
    </w:p>
    <w:p w:rsidR="006772D2" w:rsidRDefault="006772D2" w:rsidP="006772D2">
      <w:pPr>
        <w:pStyle w:val="Heading3"/>
        <w:rPr>
          <w:b w:val="0"/>
          <w:bCs/>
          <w:sz w:val="26"/>
          <w:szCs w:val="24"/>
        </w:rPr>
      </w:pPr>
      <w:bookmarkStart w:id="6" w:name="_Toc327516033"/>
      <w:r>
        <w:rPr>
          <w:b w:val="0"/>
          <w:bCs/>
          <w:sz w:val="26"/>
          <w:szCs w:val="24"/>
        </w:rPr>
        <w:t>1.3.1 Wide Area Workflow</w:t>
      </w:r>
      <w:bookmarkEnd w:id="6"/>
    </w:p>
    <w:p w:rsidR="002E3931" w:rsidRDefault="002E3931" w:rsidP="002E3931">
      <w:pPr>
        <w:spacing w:before="0"/>
        <w:rPr>
          <w:bCs/>
          <w:sz w:val="26"/>
          <w:szCs w:val="24"/>
        </w:rPr>
      </w:pPr>
    </w:p>
    <w:p w:rsidR="002E3931" w:rsidRDefault="002E3931" w:rsidP="002E3931">
      <w:pPr>
        <w:spacing w:before="0"/>
        <w:rPr>
          <w:bCs/>
          <w:sz w:val="26"/>
          <w:szCs w:val="24"/>
        </w:rPr>
      </w:pPr>
      <w:r>
        <w:rPr>
          <w:bCs/>
          <w:sz w:val="26"/>
          <w:szCs w:val="24"/>
        </w:rPr>
        <w:t>Wide Area Workflow (</w:t>
      </w:r>
      <w:r w:rsidRPr="00C80438">
        <w:rPr>
          <w:bCs/>
          <w:sz w:val="26"/>
          <w:szCs w:val="24"/>
        </w:rPr>
        <w:t>WAWF</w:t>
      </w:r>
      <w:r>
        <w:rPr>
          <w:bCs/>
          <w:sz w:val="26"/>
          <w:szCs w:val="24"/>
        </w:rPr>
        <w:t>)</w:t>
      </w:r>
      <w:r w:rsidRPr="00C80438">
        <w:rPr>
          <w:bCs/>
          <w:sz w:val="26"/>
          <w:szCs w:val="24"/>
        </w:rPr>
        <w:t xml:space="preserve"> is a secure, Web-based system for electronic invoicing, receipt, and acceptance.  It allows government vendors to submit and track invoices and receipt/acceptance documents over the Web and allows government personnel to process those </w:t>
      </w:r>
      <w:r w:rsidR="0040192D">
        <w:rPr>
          <w:bCs/>
          <w:sz w:val="26"/>
          <w:szCs w:val="24"/>
        </w:rPr>
        <w:t>transactions</w:t>
      </w:r>
      <w:r w:rsidRPr="00C80438">
        <w:rPr>
          <w:bCs/>
          <w:sz w:val="26"/>
          <w:szCs w:val="24"/>
        </w:rPr>
        <w:t xml:space="preserve"> in a real-time, paperless environment.  </w:t>
      </w:r>
    </w:p>
    <w:p w:rsidR="002E3931" w:rsidRDefault="002E3931" w:rsidP="002E3931">
      <w:pPr>
        <w:spacing w:before="0"/>
        <w:rPr>
          <w:bCs/>
          <w:sz w:val="26"/>
          <w:szCs w:val="24"/>
        </w:rPr>
      </w:pPr>
    </w:p>
    <w:p w:rsidR="002E3931" w:rsidRDefault="002E3931" w:rsidP="002E3931">
      <w:pPr>
        <w:spacing w:before="0"/>
        <w:rPr>
          <w:bCs/>
          <w:sz w:val="26"/>
          <w:szCs w:val="24"/>
        </w:rPr>
      </w:pPr>
      <w:r>
        <w:rPr>
          <w:bCs/>
          <w:sz w:val="26"/>
          <w:szCs w:val="24"/>
        </w:rPr>
        <w:t xml:space="preserve">To support GFP processing, WAWF has been enhanced to capture bi-directional property transfer between </w:t>
      </w:r>
      <w:proofErr w:type="gramStart"/>
      <w:r>
        <w:rPr>
          <w:bCs/>
          <w:sz w:val="26"/>
          <w:szCs w:val="24"/>
        </w:rPr>
        <w:t>DoD</w:t>
      </w:r>
      <w:proofErr w:type="gramEnd"/>
      <w:r>
        <w:rPr>
          <w:bCs/>
          <w:sz w:val="26"/>
          <w:szCs w:val="24"/>
        </w:rPr>
        <w:t xml:space="preserve"> and Contractors for both </w:t>
      </w:r>
      <w:proofErr w:type="spellStart"/>
      <w:r>
        <w:rPr>
          <w:bCs/>
          <w:sz w:val="26"/>
          <w:szCs w:val="24"/>
        </w:rPr>
        <w:t>UII’d</w:t>
      </w:r>
      <w:proofErr w:type="spellEnd"/>
      <w:r>
        <w:rPr>
          <w:bCs/>
          <w:sz w:val="26"/>
          <w:szCs w:val="24"/>
        </w:rPr>
        <w:t xml:space="preserve"> items and </w:t>
      </w:r>
      <w:proofErr w:type="spellStart"/>
      <w:r>
        <w:rPr>
          <w:bCs/>
          <w:sz w:val="26"/>
          <w:szCs w:val="24"/>
        </w:rPr>
        <w:t>nonUII’d</w:t>
      </w:r>
      <w:proofErr w:type="spellEnd"/>
      <w:r>
        <w:rPr>
          <w:bCs/>
          <w:sz w:val="26"/>
          <w:szCs w:val="24"/>
        </w:rPr>
        <w:t xml:space="preserve"> items. The property transfer data is automatically transmitted to the UID Registry and to </w:t>
      </w:r>
      <w:proofErr w:type="gramStart"/>
      <w:r>
        <w:rPr>
          <w:bCs/>
          <w:sz w:val="26"/>
          <w:szCs w:val="24"/>
        </w:rPr>
        <w:t>identified</w:t>
      </w:r>
      <w:proofErr w:type="gramEnd"/>
      <w:r>
        <w:rPr>
          <w:bCs/>
          <w:sz w:val="26"/>
          <w:szCs w:val="24"/>
        </w:rPr>
        <w:t xml:space="preserve"> APSRs to record the custody update. Property transfer data may be submitted via the web interface, directly to WAWF or via the Global Exchange Services.</w:t>
      </w:r>
    </w:p>
    <w:p w:rsidR="006772D2" w:rsidRDefault="006772D2" w:rsidP="002E3931">
      <w:pPr>
        <w:spacing w:before="0"/>
        <w:rPr>
          <w:bCs/>
          <w:sz w:val="26"/>
          <w:szCs w:val="24"/>
        </w:rPr>
      </w:pPr>
    </w:p>
    <w:p w:rsidR="006772D2" w:rsidRDefault="006772D2" w:rsidP="002E3931">
      <w:pPr>
        <w:spacing w:before="0"/>
        <w:rPr>
          <w:bCs/>
          <w:sz w:val="26"/>
          <w:szCs w:val="24"/>
        </w:rPr>
      </w:pPr>
      <w:r>
        <w:rPr>
          <w:bCs/>
          <w:sz w:val="26"/>
          <w:szCs w:val="24"/>
        </w:rPr>
        <w:t xml:space="preserve">Additional information and tutorials regarding GFP processing via WAWF can be found at </w:t>
      </w:r>
      <w:hyperlink r:id="rId12" w:history="1">
        <w:r w:rsidR="00427548" w:rsidRPr="00931025">
          <w:rPr>
            <w:rStyle w:val="Hyperlink"/>
            <w:bCs/>
            <w:sz w:val="26"/>
            <w:szCs w:val="24"/>
          </w:rPr>
          <w:t>www.wawftraining.eb.mil</w:t>
        </w:r>
      </w:hyperlink>
      <w:r>
        <w:rPr>
          <w:bCs/>
          <w:sz w:val="26"/>
          <w:szCs w:val="24"/>
        </w:rPr>
        <w:t xml:space="preserve">. </w:t>
      </w:r>
    </w:p>
    <w:p w:rsidR="002E3931" w:rsidRDefault="002E3931" w:rsidP="002E3931">
      <w:pPr>
        <w:spacing w:before="0"/>
        <w:rPr>
          <w:bCs/>
          <w:sz w:val="26"/>
          <w:szCs w:val="24"/>
        </w:rPr>
      </w:pPr>
    </w:p>
    <w:p w:rsidR="002E3931" w:rsidRDefault="006772D2" w:rsidP="002E3931">
      <w:pPr>
        <w:pStyle w:val="Heading3"/>
        <w:rPr>
          <w:b w:val="0"/>
          <w:bCs/>
          <w:sz w:val="26"/>
          <w:szCs w:val="24"/>
        </w:rPr>
      </w:pPr>
      <w:bookmarkStart w:id="7" w:name="_Toc327516034"/>
      <w:r>
        <w:rPr>
          <w:b w:val="0"/>
          <w:bCs/>
          <w:sz w:val="26"/>
          <w:szCs w:val="24"/>
        </w:rPr>
        <w:t>1</w:t>
      </w:r>
      <w:r w:rsidR="002E3931">
        <w:rPr>
          <w:b w:val="0"/>
          <w:bCs/>
          <w:sz w:val="26"/>
          <w:szCs w:val="24"/>
        </w:rPr>
        <w:t>.3.2 Global Exchange Services (GEX)</w:t>
      </w:r>
      <w:bookmarkEnd w:id="7"/>
    </w:p>
    <w:p w:rsidR="002E3931" w:rsidRDefault="002E3931" w:rsidP="002E3931">
      <w:pPr>
        <w:spacing w:before="0"/>
        <w:rPr>
          <w:b/>
          <w:bCs/>
          <w:sz w:val="26"/>
          <w:szCs w:val="24"/>
        </w:rPr>
      </w:pPr>
    </w:p>
    <w:p w:rsidR="002E3931" w:rsidRDefault="002E3931" w:rsidP="002E3931">
      <w:pPr>
        <w:spacing w:before="0"/>
        <w:rPr>
          <w:bCs/>
          <w:sz w:val="26"/>
          <w:szCs w:val="24"/>
        </w:rPr>
      </w:pPr>
      <w:r w:rsidRPr="00C80438">
        <w:rPr>
          <w:bCs/>
          <w:sz w:val="26"/>
          <w:szCs w:val="24"/>
        </w:rPr>
        <w:t>Global Exchange (GEX) Services provide</w:t>
      </w:r>
      <w:r>
        <w:rPr>
          <w:bCs/>
          <w:sz w:val="26"/>
          <w:szCs w:val="24"/>
        </w:rPr>
        <w:t>s</w:t>
      </w:r>
      <w:r w:rsidRPr="00C80438">
        <w:rPr>
          <w:bCs/>
          <w:sz w:val="26"/>
          <w:szCs w:val="24"/>
        </w:rPr>
        <w:t xml:space="preserve"> broker and mediation services between government agencies, commercial industry, and government systems.  </w:t>
      </w:r>
      <w:r>
        <w:rPr>
          <w:bCs/>
          <w:sz w:val="26"/>
          <w:szCs w:val="24"/>
        </w:rPr>
        <w:t xml:space="preserve">To support GFP processing, </w:t>
      </w:r>
      <w:proofErr w:type="gramStart"/>
      <w:r>
        <w:rPr>
          <w:bCs/>
          <w:sz w:val="26"/>
          <w:szCs w:val="24"/>
        </w:rPr>
        <w:t>DoD</w:t>
      </w:r>
      <w:proofErr w:type="gramEnd"/>
      <w:r>
        <w:rPr>
          <w:bCs/>
          <w:sz w:val="26"/>
          <w:szCs w:val="24"/>
        </w:rPr>
        <w:t xml:space="preserve"> systems and Contractor systems may send electronic property transfer messages to GEX which are transformed and transmitted to WAWF.  The initial baseline of GFP described in Paragraph 2.2 is also transmitted via GEX.</w:t>
      </w:r>
    </w:p>
    <w:p w:rsidR="002E3931" w:rsidRDefault="002E3931" w:rsidP="002E3931">
      <w:pPr>
        <w:spacing w:before="0"/>
        <w:rPr>
          <w:bCs/>
          <w:sz w:val="26"/>
          <w:szCs w:val="24"/>
        </w:rPr>
      </w:pPr>
    </w:p>
    <w:p w:rsidR="002E3931" w:rsidRDefault="006772D2" w:rsidP="002E3931">
      <w:pPr>
        <w:pStyle w:val="Heading3"/>
        <w:rPr>
          <w:b w:val="0"/>
          <w:bCs/>
          <w:sz w:val="26"/>
          <w:szCs w:val="24"/>
        </w:rPr>
      </w:pPr>
      <w:bookmarkStart w:id="8" w:name="_Toc327516035"/>
      <w:r>
        <w:rPr>
          <w:b w:val="0"/>
          <w:bCs/>
          <w:sz w:val="26"/>
          <w:szCs w:val="24"/>
        </w:rPr>
        <w:t>1</w:t>
      </w:r>
      <w:r w:rsidR="002E3931">
        <w:rPr>
          <w:b w:val="0"/>
          <w:bCs/>
          <w:sz w:val="26"/>
          <w:szCs w:val="24"/>
        </w:rPr>
        <w:t>.3.3 Defense Logistics Management System</w:t>
      </w:r>
      <w:bookmarkEnd w:id="8"/>
    </w:p>
    <w:p w:rsidR="002E3931" w:rsidRDefault="002E3931" w:rsidP="002E3931">
      <w:pPr>
        <w:spacing w:before="0"/>
        <w:rPr>
          <w:b/>
          <w:bCs/>
          <w:sz w:val="26"/>
          <w:szCs w:val="24"/>
        </w:rPr>
      </w:pPr>
    </w:p>
    <w:p w:rsidR="002E3931" w:rsidRPr="000B68AB" w:rsidRDefault="002E3931" w:rsidP="002E3931">
      <w:pPr>
        <w:spacing w:before="0"/>
        <w:rPr>
          <w:bCs/>
          <w:sz w:val="26"/>
          <w:szCs w:val="24"/>
        </w:rPr>
      </w:pPr>
      <w:r w:rsidRPr="000B68AB">
        <w:rPr>
          <w:bCs/>
          <w:sz w:val="26"/>
          <w:szCs w:val="24"/>
        </w:rPr>
        <w:t xml:space="preserve">The Defense Logistics Management System (DLMS) is a broad base of business rules implemented to support commercial </w:t>
      </w:r>
      <w:r>
        <w:rPr>
          <w:bCs/>
          <w:sz w:val="26"/>
          <w:szCs w:val="24"/>
        </w:rPr>
        <w:t>Electronic Data Interchange (</w:t>
      </w:r>
      <w:r w:rsidRPr="000B68AB">
        <w:rPr>
          <w:bCs/>
          <w:sz w:val="26"/>
          <w:szCs w:val="24"/>
        </w:rPr>
        <w:t>EDI</w:t>
      </w:r>
      <w:r>
        <w:rPr>
          <w:bCs/>
          <w:sz w:val="26"/>
          <w:szCs w:val="24"/>
        </w:rPr>
        <w:t>)</w:t>
      </w:r>
      <w:r w:rsidRPr="000B68AB">
        <w:rPr>
          <w:bCs/>
          <w:sz w:val="26"/>
          <w:szCs w:val="24"/>
        </w:rPr>
        <w:t xml:space="preserve"> transaction sets and to facilitate the elimination of Military Standard Logistics System (MILS) transactions.  MILS transactions a</w:t>
      </w:r>
      <w:r>
        <w:rPr>
          <w:bCs/>
          <w:sz w:val="26"/>
          <w:szCs w:val="24"/>
        </w:rPr>
        <w:t>re limited to 80 characters and lack the data content needed to adequately identify critical GFP data.</w:t>
      </w:r>
    </w:p>
    <w:p w:rsidR="002E3931" w:rsidRPr="000B68AB" w:rsidRDefault="002E3931" w:rsidP="002E3931">
      <w:pPr>
        <w:spacing w:before="0"/>
        <w:rPr>
          <w:bCs/>
          <w:sz w:val="26"/>
          <w:szCs w:val="24"/>
        </w:rPr>
      </w:pPr>
      <w:r w:rsidRPr="000B68AB">
        <w:rPr>
          <w:bCs/>
          <w:sz w:val="26"/>
          <w:szCs w:val="24"/>
        </w:rPr>
        <w:t xml:space="preserve"> </w:t>
      </w:r>
    </w:p>
    <w:p w:rsidR="002E3931" w:rsidRDefault="002E3931" w:rsidP="002E3931">
      <w:pPr>
        <w:spacing w:before="0"/>
        <w:rPr>
          <w:bCs/>
          <w:sz w:val="26"/>
          <w:szCs w:val="24"/>
        </w:rPr>
      </w:pPr>
      <w:r w:rsidRPr="000B68AB">
        <w:rPr>
          <w:bCs/>
          <w:sz w:val="26"/>
          <w:szCs w:val="24"/>
        </w:rPr>
        <w:t xml:space="preserve">DLMS is founded on American National Standards Institute Accredited Standards Committee (ASC) X12 standards and include both X12 transactions and World Wide Web Consortium-compliant </w:t>
      </w:r>
      <w:proofErr w:type="spellStart"/>
      <w:r w:rsidRPr="000B68AB">
        <w:rPr>
          <w:bCs/>
          <w:sz w:val="26"/>
          <w:szCs w:val="24"/>
        </w:rPr>
        <w:t>eXtensible</w:t>
      </w:r>
      <w:proofErr w:type="spellEnd"/>
      <w:r w:rsidRPr="000B68AB">
        <w:rPr>
          <w:bCs/>
          <w:sz w:val="26"/>
          <w:szCs w:val="24"/>
        </w:rPr>
        <w:t xml:space="preserve"> Markup Language (XML) schemas.  DLMS </w:t>
      </w:r>
      <w:r>
        <w:rPr>
          <w:bCs/>
          <w:sz w:val="26"/>
          <w:szCs w:val="24"/>
        </w:rPr>
        <w:t xml:space="preserve">messages are generally used to convey property transfer data related to items that are provided to contractors from the DoD Supply System. The DLMS transactions are being enhanced to incorporate data required to support GFP visibility.  To support adequate GFP visibility and processing, it is imperative that </w:t>
      </w:r>
      <w:proofErr w:type="gramStart"/>
      <w:r>
        <w:rPr>
          <w:bCs/>
          <w:sz w:val="26"/>
          <w:szCs w:val="24"/>
        </w:rPr>
        <w:t>DoD</w:t>
      </w:r>
      <w:proofErr w:type="gramEnd"/>
      <w:r>
        <w:rPr>
          <w:bCs/>
          <w:sz w:val="26"/>
          <w:szCs w:val="24"/>
        </w:rPr>
        <w:t xml:space="preserve"> and Contractor systems interfacing with the DoD Supply System upgrade to accommodate the enhanced DLMS data structures.   </w:t>
      </w:r>
    </w:p>
    <w:p w:rsidR="002E3931" w:rsidRDefault="002E3931" w:rsidP="002E3931">
      <w:pPr>
        <w:spacing w:before="0"/>
        <w:rPr>
          <w:bCs/>
          <w:sz w:val="26"/>
          <w:szCs w:val="24"/>
        </w:rPr>
      </w:pPr>
    </w:p>
    <w:p w:rsidR="002E3931" w:rsidRDefault="006772D2" w:rsidP="002E3931">
      <w:pPr>
        <w:pStyle w:val="Heading3"/>
        <w:rPr>
          <w:b w:val="0"/>
          <w:bCs/>
          <w:sz w:val="26"/>
          <w:szCs w:val="24"/>
        </w:rPr>
      </w:pPr>
      <w:bookmarkStart w:id="9" w:name="_Toc327516036"/>
      <w:r>
        <w:rPr>
          <w:b w:val="0"/>
          <w:bCs/>
          <w:sz w:val="26"/>
          <w:szCs w:val="24"/>
        </w:rPr>
        <w:t>1</w:t>
      </w:r>
      <w:r w:rsidR="002E3931">
        <w:rPr>
          <w:b w:val="0"/>
          <w:bCs/>
          <w:sz w:val="26"/>
          <w:szCs w:val="24"/>
        </w:rPr>
        <w:t>.3.4 Item Unique Identification Registry</w:t>
      </w:r>
      <w:bookmarkEnd w:id="9"/>
    </w:p>
    <w:p w:rsidR="002E3931" w:rsidRDefault="002E3931" w:rsidP="002E3931">
      <w:pPr>
        <w:spacing w:before="0"/>
        <w:rPr>
          <w:b/>
          <w:bCs/>
          <w:sz w:val="26"/>
          <w:szCs w:val="24"/>
        </w:rPr>
      </w:pPr>
    </w:p>
    <w:p w:rsidR="002E3931" w:rsidRPr="00B42C92" w:rsidRDefault="002E3931" w:rsidP="002E3931">
      <w:pPr>
        <w:spacing w:before="0"/>
        <w:rPr>
          <w:bCs/>
          <w:sz w:val="26"/>
          <w:szCs w:val="24"/>
        </w:rPr>
      </w:pPr>
      <w:r w:rsidRPr="00B42C92">
        <w:rPr>
          <w:bCs/>
          <w:sz w:val="26"/>
          <w:szCs w:val="24"/>
        </w:rPr>
        <w:t xml:space="preserve">The IUID Registry is the data repository for items where unique identification is required pursuant to the OSD Policy for Unique Identification and DFAR </w:t>
      </w:r>
      <w:smartTag w:uri="urn:schemas-microsoft-com:office:smarttags" w:element="phone">
        <w:smartTagPr>
          <w:attr w:name="phonenumber" w:val="$6211$$$"/>
          <w:attr w:uri="urn:schemas-microsoft-com:office:office" w:name="ls" w:val="trans"/>
        </w:smartTagPr>
        <w:r w:rsidRPr="00B42C92">
          <w:rPr>
            <w:bCs/>
            <w:sz w:val="26"/>
            <w:szCs w:val="24"/>
          </w:rPr>
          <w:t>252.211-7003</w:t>
        </w:r>
      </w:smartTag>
      <w:r w:rsidRPr="00B42C92">
        <w:rPr>
          <w:bCs/>
          <w:sz w:val="26"/>
          <w:szCs w:val="24"/>
        </w:rPr>
        <w:t xml:space="preserve">.  The primary mission of the IUID Registry is to receive and store IUID pedigree data for the military services.  The IUID Registry is the authoritative source for the </w:t>
      </w:r>
      <w:proofErr w:type="gramStart"/>
      <w:r w:rsidRPr="00B42C92">
        <w:rPr>
          <w:bCs/>
          <w:sz w:val="26"/>
          <w:szCs w:val="24"/>
        </w:rPr>
        <w:t>DoD</w:t>
      </w:r>
      <w:proofErr w:type="gramEnd"/>
      <w:r w:rsidRPr="00B42C92">
        <w:rPr>
          <w:bCs/>
          <w:sz w:val="26"/>
          <w:szCs w:val="24"/>
        </w:rPr>
        <w:t xml:space="preserve"> for IUID data.  Data is received via WAWF transactions, system data exchanges, and direct submissions to the registry.</w:t>
      </w:r>
    </w:p>
    <w:p w:rsidR="002E3931" w:rsidRPr="00B42C92" w:rsidRDefault="002E3931" w:rsidP="002E3931">
      <w:pPr>
        <w:spacing w:before="0"/>
        <w:rPr>
          <w:bCs/>
          <w:sz w:val="26"/>
          <w:szCs w:val="24"/>
        </w:rPr>
      </w:pPr>
    </w:p>
    <w:p w:rsidR="002E3931" w:rsidRDefault="002E3931" w:rsidP="002E3931">
      <w:pPr>
        <w:spacing w:before="0"/>
        <w:rPr>
          <w:bCs/>
          <w:sz w:val="26"/>
          <w:szCs w:val="24"/>
        </w:rPr>
      </w:pPr>
      <w:r>
        <w:rPr>
          <w:bCs/>
          <w:sz w:val="26"/>
          <w:szCs w:val="24"/>
        </w:rPr>
        <w:t xml:space="preserve">The IUID Registry also functions as the </w:t>
      </w:r>
      <w:proofErr w:type="gramStart"/>
      <w:r>
        <w:rPr>
          <w:bCs/>
          <w:sz w:val="26"/>
          <w:szCs w:val="24"/>
        </w:rPr>
        <w:t>DoD</w:t>
      </w:r>
      <w:proofErr w:type="gramEnd"/>
      <w:r>
        <w:rPr>
          <w:bCs/>
          <w:sz w:val="26"/>
          <w:szCs w:val="24"/>
        </w:rPr>
        <w:t xml:space="preserve"> Enterprise repository for tracking property in the custody of contractors. To support GFP visibility, the IUID Registry has been enhanced to capture both </w:t>
      </w:r>
      <w:proofErr w:type="spellStart"/>
      <w:r>
        <w:rPr>
          <w:bCs/>
          <w:sz w:val="26"/>
          <w:szCs w:val="24"/>
        </w:rPr>
        <w:t>UII’d</w:t>
      </w:r>
      <w:proofErr w:type="spellEnd"/>
      <w:r>
        <w:rPr>
          <w:bCs/>
          <w:sz w:val="26"/>
          <w:szCs w:val="24"/>
        </w:rPr>
        <w:t xml:space="preserve"> GFP and </w:t>
      </w:r>
      <w:proofErr w:type="spellStart"/>
      <w:r>
        <w:rPr>
          <w:bCs/>
          <w:sz w:val="26"/>
          <w:szCs w:val="24"/>
        </w:rPr>
        <w:t>nonUII’d</w:t>
      </w:r>
      <w:proofErr w:type="spellEnd"/>
      <w:r>
        <w:rPr>
          <w:bCs/>
          <w:sz w:val="26"/>
          <w:szCs w:val="24"/>
        </w:rPr>
        <w:t xml:space="preserve"> GFP. The IUID Registry’s GFP capability automatically receives data from WAWF related to property transfers for both </w:t>
      </w:r>
      <w:proofErr w:type="spellStart"/>
      <w:r>
        <w:rPr>
          <w:bCs/>
          <w:sz w:val="26"/>
          <w:szCs w:val="24"/>
        </w:rPr>
        <w:t>UII’d</w:t>
      </w:r>
      <w:proofErr w:type="spellEnd"/>
      <w:r>
        <w:rPr>
          <w:bCs/>
          <w:sz w:val="26"/>
          <w:szCs w:val="24"/>
        </w:rPr>
        <w:t xml:space="preserve"> items and </w:t>
      </w:r>
      <w:proofErr w:type="spellStart"/>
      <w:r>
        <w:rPr>
          <w:bCs/>
          <w:sz w:val="26"/>
          <w:szCs w:val="24"/>
        </w:rPr>
        <w:t>nonUII’d</w:t>
      </w:r>
      <w:proofErr w:type="spellEnd"/>
      <w:r>
        <w:rPr>
          <w:bCs/>
          <w:sz w:val="26"/>
          <w:szCs w:val="24"/>
        </w:rPr>
        <w:t xml:space="preserve"> </w:t>
      </w:r>
      <w:proofErr w:type="gramStart"/>
      <w:r>
        <w:rPr>
          <w:bCs/>
          <w:sz w:val="26"/>
          <w:szCs w:val="24"/>
        </w:rPr>
        <w:t>items</w:t>
      </w:r>
      <w:proofErr w:type="gramEnd"/>
      <w:r>
        <w:rPr>
          <w:bCs/>
          <w:sz w:val="26"/>
          <w:szCs w:val="24"/>
        </w:rPr>
        <w:t xml:space="preserve">. The GFP baseline established in the IUID Registry’s GFP capability also includes both </w:t>
      </w:r>
      <w:proofErr w:type="spellStart"/>
      <w:r>
        <w:rPr>
          <w:bCs/>
          <w:sz w:val="26"/>
          <w:szCs w:val="24"/>
        </w:rPr>
        <w:t>UII’d</w:t>
      </w:r>
      <w:proofErr w:type="spellEnd"/>
      <w:r>
        <w:rPr>
          <w:bCs/>
          <w:sz w:val="26"/>
          <w:szCs w:val="24"/>
        </w:rPr>
        <w:t xml:space="preserve"> and </w:t>
      </w:r>
      <w:proofErr w:type="spellStart"/>
      <w:r>
        <w:rPr>
          <w:bCs/>
          <w:sz w:val="26"/>
          <w:szCs w:val="24"/>
        </w:rPr>
        <w:t>nonUII’d</w:t>
      </w:r>
      <w:proofErr w:type="spellEnd"/>
      <w:r>
        <w:rPr>
          <w:bCs/>
          <w:sz w:val="26"/>
          <w:szCs w:val="24"/>
        </w:rPr>
        <w:t xml:space="preserve"> GFP. Future enhancements will enable capture and exposure of GFP transferred from the DoD Supply System. A web user interface is available to query, report, and update custody information.</w:t>
      </w:r>
    </w:p>
    <w:p w:rsidR="00BD4433" w:rsidRDefault="00BD4433" w:rsidP="002E3931">
      <w:pPr>
        <w:spacing w:before="0"/>
        <w:rPr>
          <w:bCs/>
          <w:sz w:val="26"/>
          <w:szCs w:val="24"/>
        </w:rPr>
      </w:pPr>
    </w:p>
    <w:p w:rsidR="00BD4433" w:rsidRDefault="00BD4433" w:rsidP="00BD4433">
      <w:pPr>
        <w:pStyle w:val="Heading3"/>
        <w:rPr>
          <w:b w:val="0"/>
          <w:bCs/>
          <w:sz w:val="26"/>
          <w:szCs w:val="24"/>
        </w:rPr>
      </w:pPr>
      <w:bookmarkStart w:id="10" w:name="_Toc327516037"/>
      <w:r>
        <w:rPr>
          <w:b w:val="0"/>
          <w:bCs/>
          <w:sz w:val="26"/>
          <w:szCs w:val="24"/>
        </w:rPr>
        <w:t>1.3.6 Electronic Document Access</w:t>
      </w:r>
      <w:bookmarkEnd w:id="10"/>
    </w:p>
    <w:p w:rsidR="00BD4433" w:rsidRDefault="00BD4433" w:rsidP="002E3931">
      <w:pPr>
        <w:spacing w:before="0"/>
        <w:rPr>
          <w:bCs/>
          <w:sz w:val="26"/>
          <w:szCs w:val="24"/>
        </w:rPr>
      </w:pPr>
      <w:r>
        <w:rPr>
          <w:bCs/>
          <w:sz w:val="26"/>
          <w:szCs w:val="24"/>
        </w:rPr>
        <w:t xml:space="preserve">Contract data is automatically submitted to Electronic Document Access (EDA) by the contract writing systems. These </w:t>
      </w:r>
      <w:proofErr w:type="gramStart"/>
      <w:r>
        <w:rPr>
          <w:bCs/>
          <w:sz w:val="26"/>
          <w:szCs w:val="24"/>
        </w:rPr>
        <w:t>system</w:t>
      </w:r>
      <w:proofErr w:type="gramEnd"/>
      <w:r>
        <w:rPr>
          <w:bCs/>
          <w:sz w:val="26"/>
          <w:szCs w:val="24"/>
        </w:rPr>
        <w:t xml:space="preserve"> are transitioning from providing EDA with PDF contract format to the contract as data in the Procurement Data Standard format. The Government furnished property attachments will be viewable in EDA when they are submitted by the contract writing system. </w:t>
      </w:r>
    </w:p>
    <w:p w:rsidR="00D7017E" w:rsidRDefault="00D7017E" w:rsidP="002E3931">
      <w:pPr>
        <w:spacing w:before="0"/>
        <w:rPr>
          <w:bCs/>
          <w:sz w:val="26"/>
          <w:szCs w:val="24"/>
        </w:rPr>
      </w:pPr>
    </w:p>
    <w:p w:rsidR="0059541D" w:rsidRDefault="00D7017E" w:rsidP="0059541D">
      <w:pPr>
        <w:pStyle w:val="Heading3"/>
        <w:rPr>
          <w:b w:val="0"/>
          <w:bCs/>
          <w:sz w:val="26"/>
          <w:szCs w:val="24"/>
        </w:rPr>
      </w:pPr>
      <w:bookmarkStart w:id="11" w:name="_Toc327516038"/>
      <w:r>
        <w:rPr>
          <w:b w:val="0"/>
          <w:bCs/>
          <w:sz w:val="26"/>
          <w:szCs w:val="24"/>
        </w:rPr>
        <w:t>1.3.5 Plant Clearance Automated Reutilization Screening System</w:t>
      </w:r>
      <w:bookmarkEnd w:id="11"/>
    </w:p>
    <w:p w:rsidR="00D7017E" w:rsidRDefault="0059541D" w:rsidP="0059541D">
      <w:r>
        <w:t>T</w:t>
      </w:r>
      <w:r w:rsidR="00D7017E" w:rsidRPr="00D7017E">
        <w:t xml:space="preserve">he Plant Clearance Automated Reutilization Screening System (PCARSS) is a Defense Contract Management Agency (DCMA) </w:t>
      </w:r>
      <w:proofErr w:type="spellStart"/>
      <w:r w:rsidR="00D7017E" w:rsidRPr="00D7017E">
        <w:t>eTool</w:t>
      </w:r>
      <w:proofErr w:type="spellEnd"/>
      <w:r w:rsidR="00D7017E" w:rsidRPr="00D7017E">
        <w:t xml:space="preserve"> application that </w:t>
      </w:r>
      <w:r w:rsidR="00D7017E">
        <w:t xml:space="preserve">dispositions property in the custody of a contractor at the time of contract completion. PCARSS will automatically transmit notification to the IUID Registry when GFP items leave </w:t>
      </w:r>
      <w:proofErr w:type="gramStart"/>
      <w:r w:rsidR="00D7017E">
        <w:t>DoD</w:t>
      </w:r>
      <w:proofErr w:type="gramEnd"/>
      <w:r w:rsidR="00D7017E">
        <w:t xml:space="preserve"> inventory incident to the dispositioning process.</w:t>
      </w:r>
      <w:r w:rsidR="002C1D96">
        <w:t xml:space="preserve"> Currently </w:t>
      </w:r>
      <w:r w:rsidR="00885B71">
        <w:t xml:space="preserve">“lifecycle events” are transmitted to the IUID Registry when </w:t>
      </w:r>
      <w:proofErr w:type="spellStart"/>
      <w:r w:rsidR="00885B71">
        <w:t>UII’d</w:t>
      </w:r>
      <w:proofErr w:type="spellEnd"/>
      <w:r w:rsidR="00885B71">
        <w:t xml:space="preserve"> items are identified as out of inventory. Beginning in January 2013, the lifecycle event notification will be extended to </w:t>
      </w:r>
      <w:proofErr w:type="spellStart"/>
      <w:r w:rsidR="00885B71">
        <w:t>nonUII’d</w:t>
      </w:r>
      <w:proofErr w:type="spellEnd"/>
      <w:r w:rsidR="00885B71">
        <w:t xml:space="preserve"> GFP as well. </w:t>
      </w:r>
    </w:p>
    <w:p w:rsidR="00D7017E" w:rsidRDefault="00D7017E" w:rsidP="00D7017E">
      <w:pPr>
        <w:pStyle w:val="Heading3"/>
        <w:rPr>
          <w:rFonts w:ascii="Times New Roman" w:hAnsi="Times New Roman"/>
          <w:b w:val="0"/>
          <w:bCs/>
          <w:sz w:val="24"/>
          <w:szCs w:val="24"/>
        </w:rPr>
      </w:pPr>
    </w:p>
    <w:p w:rsidR="00D7017E" w:rsidRDefault="00D7017E" w:rsidP="0059541D">
      <w:pPr>
        <w:pStyle w:val="Heading3"/>
        <w:rPr>
          <w:b w:val="0"/>
          <w:bCs/>
          <w:sz w:val="26"/>
          <w:szCs w:val="24"/>
        </w:rPr>
      </w:pPr>
      <w:bookmarkStart w:id="12" w:name="_Toc327516039"/>
      <w:r>
        <w:rPr>
          <w:b w:val="0"/>
          <w:bCs/>
          <w:sz w:val="26"/>
          <w:szCs w:val="24"/>
        </w:rPr>
        <w:t>1.3.6 Loss Theft Damaged and Destroyed</w:t>
      </w:r>
      <w:bookmarkEnd w:id="12"/>
    </w:p>
    <w:p w:rsidR="00D7017E" w:rsidRDefault="00D7017E" w:rsidP="0059541D">
      <w:r>
        <w:t xml:space="preserve">The </w:t>
      </w:r>
      <w:r w:rsidR="002C1D96">
        <w:t xml:space="preserve">Loss Theft Damaged and Destroyed system is a DCMA </w:t>
      </w:r>
      <w:proofErr w:type="spellStart"/>
      <w:r w:rsidR="002C1D96">
        <w:t>eTools</w:t>
      </w:r>
      <w:proofErr w:type="spellEnd"/>
      <w:r w:rsidR="002C1D96">
        <w:t xml:space="preserve"> capability that tracks cases where Government property in the custody of a contractor is no longer useful. The LTDD system enables interaction between contractor and DCMA to determine appropriate </w:t>
      </w:r>
      <w:r w:rsidR="00885B71">
        <w:t xml:space="preserve">responsibility and </w:t>
      </w:r>
      <w:r w:rsidR="002C1D96">
        <w:t xml:space="preserve">outcome. If the GFP items are determined to be out of </w:t>
      </w:r>
      <w:proofErr w:type="gramStart"/>
      <w:r w:rsidR="002C1D96">
        <w:t>DoD</w:t>
      </w:r>
      <w:proofErr w:type="gramEnd"/>
      <w:r w:rsidR="002C1D96">
        <w:t xml:space="preserve"> inventory, LTDD will automatically</w:t>
      </w:r>
      <w:r w:rsidR="00885B71">
        <w:t xml:space="preserve"> transmit notification</w:t>
      </w:r>
      <w:r w:rsidR="002C1D96">
        <w:t xml:space="preserve"> to the IUID Registry</w:t>
      </w:r>
      <w:r w:rsidR="00885B71">
        <w:t xml:space="preserve">. Currently “lifecycle events” are transmitted to the IUID Registry when </w:t>
      </w:r>
      <w:proofErr w:type="spellStart"/>
      <w:r w:rsidR="00885B71">
        <w:t>UII’d</w:t>
      </w:r>
      <w:proofErr w:type="spellEnd"/>
      <w:r w:rsidR="00885B71">
        <w:t xml:space="preserve"> items are identified as out of inventory. Beginning in January 2013, the lifecycle event notification will be extended to </w:t>
      </w:r>
      <w:proofErr w:type="spellStart"/>
      <w:r w:rsidR="00885B71">
        <w:t>nonUII’d</w:t>
      </w:r>
      <w:proofErr w:type="spellEnd"/>
      <w:r w:rsidR="00885B71">
        <w:t xml:space="preserve"> GFP as well.</w:t>
      </w:r>
    </w:p>
    <w:p w:rsidR="006A6278" w:rsidRDefault="006A6278" w:rsidP="006A6278">
      <w:pPr>
        <w:pStyle w:val="Heading3"/>
        <w:rPr>
          <w:rFonts w:ascii="Times New Roman" w:hAnsi="Times New Roman"/>
          <w:b w:val="0"/>
          <w:bCs/>
          <w:sz w:val="24"/>
          <w:szCs w:val="24"/>
        </w:rPr>
      </w:pPr>
    </w:p>
    <w:p w:rsidR="006A6278" w:rsidRDefault="006A6278" w:rsidP="006A6278">
      <w:pPr>
        <w:pStyle w:val="Heading2"/>
        <w:rPr>
          <w:b w:val="0"/>
          <w:bCs w:val="0"/>
          <w:color w:val="548DD4" w:themeColor="text2" w:themeTint="99"/>
        </w:rPr>
      </w:pPr>
      <w:bookmarkStart w:id="13" w:name="_Toc327516040"/>
      <w:r w:rsidRPr="006A6278">
        <w:rPr>
          <w:b w:val="0"/>
          <w:bCs w:val="0"/>
          <w:color w:val="548DD4" w:themeColor="text2" w:themeTint="99"/>
        </w:rPr>
        <w:t>1.4 GFP PROCESS</w:t>
      </w:r>
      <w:bookmarkEnd w:id="13"/>
    </w:p>
    <w:p w:rsidR="006A6278" w:rsidRDefault="006A6278" w:rsidP="006A6278">
      <w:r>
        <w:t xml:space="preserve">The overall GFP process that is directed by the DoD Policies and enabled by the </w:t>
      </w:r>
      <w:proofErr w:type="gramStart"/>
      <w:r>
        <w:t>DoD</w:t>
      </w:r>
      <w:proofErr w:type="gramEnd"/>
      <w:r>
        <w:t xml:space="preserve"> Enterprise </w:t>
      </w:r>
      <w:r w:rsidR="00461EE5">
        <w:t>tools is illustrated in Figure 1</w:t>
      </w:r>
      <w:r>
        <w:t xml:space="preserve">. This diagram </w:t>
      </w:r>
      <w:r w:rsidR="00461EE5">
        <w:t xml:space="preserve">associates the Business Enterprise Architecture Procure to </w:t>
      </w:r>
      <w:proofErr w:type="gramStart"/>
      <w:r w:rsidR="00461EE5">
        <w:t>Pay</w:t>
      </w:r>
      <w:proofErr w:type="gramEnd"/>
      <w:r w:rsidR="00461EE5">
        <w:t xml:space="preserve"> processes with the supporting data and systems. </w:t>
      </w:r>
    </w:p>
    <w:p w:rsidR="00461EE5" w:rsidRDefault="00461EE5" w:rsidP="00461EE5">
      <w:pPr>
        <w:keepNext/>
      </w:pPr>
      <w:r>
        <w:rPr>
          <w:noProof/>
        </w:rPr>
        <w:drawing>
          <wp:inline distT="0" distB="0" distL="0" distR="0">
            <wp:extent cx="5060731" cy="3057525"/>
            <wp:effectExtent l="19050" t="0" r="6569"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060731" cy="3057525"/>
                    </a:xfrm>
                    <a:prstGeom prst="rect">
                      <a:avLst/>
                    </a:prstGeom>
                    <a:noFill/>
                    <a:ln w="9525">
                      <a:noFill/>
                      <a:miter lim="800000"/>
                      <a:headEnd/>
                      <a:tailEnd/>
                    </a:ln>
                  </pic:spPr>
                </pic:pic>
              </a:graphicData>
            </a:graphic>
          </wp:inline>
        </w:drawing>
      </w:r>
    </w:p>
    <w:p w:rsidR="006A6278" w:rsidRPr="006A6278" w:rsidRDefault="00461EE5" w:rsidP="00461EE5">
      <w:pPr>
        <w:pStyle w:val="Caption"/>
      </w:pPr>
      <w:bookmarkStart w:id="14" w:name="_Toc327516063"/>
      <w:proofErr w:type="gramStart"/>
      <w:r>
        <w:t xml:space="preserve">Figure </w:t>
      </w:r>
      <w:r w:rsidR="00DE56EA">
        <w:fldChar w:fldCharType="begin"/>
      </w:r>
      <w:r w:rsidR="00DE56EA">
        <w:instrText xml:space="preserve"> SEQ Figure \* ARABIC </w:instrText>
      </w:r>
      <w:r w:rsidR="00DE56EA">
        <w:fldChar w:fldCharType="separate"/>
      </w:r>
      <w:r w:rsidR="00FF3108">
        <w:rPr>
          <w:noProof/>
        </w:rPr>
        <w:t>1</w:t>
      </w:r>
      <w:r w:rsidR="00DE56EA">
        <w:rPr>
          <w:noProof/>
        </w:rPr>
        <w:fldChar w:fldCharType="end"/>
      </w:r>
      <w:r>
        <w:t>.</w:t>
      </w:r>
      <w:proofErr w:type="gramEnd"/>
      <w:r>
        <w:t xml:space="preserve"> Property Transaction Touch Points</w:t>
      </w:r>
      <w:bookmarkEnd w:id="14"/>
    </w:p>
    <w:p w:rsidR="00A55278" w:rsidRPr="005A2188" w:rsidRDefault="00A55278" w:rsidP="00193132">
      <w:pPr>
        <w:pStyle w:val="Heading1"/>
        <w:rPr>
          <w:b w:val="0"/>
          <w:sz w:val="26"/>
          <w:szCs w:val="28"/>
        </w:rPr>
      </w:pPr>
      <w:bookmarkStart w:id="15" w:name="_Toc327516041"/>
      <w:r w:rsidRPr="005A2188">
        <w:rPr>
          <w:b w:val="0"/>
          <w:sz w:val="26"/>
          <w:szCs w:val="28"/>
        </w:rPr>
        <w:t xml:space="preserve">2.0  </w:t>
      </w:r>
      <w:r w:rsidR="00B70790">
        <w:rPr>
          <w:b w:val="0"/>
          <w:sz w:val="26"/>
          <w:szCs w:val="28"/>
        </w:rPr>
        <w:t xml:space="preserve"> ESTABLISH</w:t>
      </w:r>
      <w:r w:rsidR="00A216F2">
        <w:rPr>
          <w:b w:val="0"/>
          <w:sz w:val="26"/>
          <w:szCs w:val="28"/>
        </w:rPr>
        <w:t xml:space="preserve"> THE </w:t>
      </w:r>
      <w:r w:rsidR="00885B71">
        <w:rPr>
          <w:b w:val="0"/>
          <w:sz w:val="26"/>
          <w:szCs w:val="28"/>
        </w:rPr>
        <w:t>GFP AUTHORIZATION</w:t>
      </w:r>
      <w:bookmarkEnd w:id="15"/>
    </w:p>
    <w:p w:rsidR="00A55278" w:rsidRDefault="00A55278" w:rsidP="00A55278">
      <w:pPr>
        <w:spacing w:before="0"/>
        <w:rPr>
          <w:b/>
        </w:rPr>
      </w:pPr>
    </w:p>
    <w:p w:rsidR="00A55278" w:rsidRPr="00DE6DC4" w:rsidRDefault="005A2188" w:rsidP="00193132">
      <w:pPr>
        <w:pStyle w:val="Heading2"/>
      </w:pPr>
      <w:bookmarkStart w:id="16" w:name="P15_566"/>
      <w:bookmarkStart w:id="17" w:name="_Toc327516042"/>
      <w:bookmarkEnd w:id="16"/>
      <w:r w:rsidRPr="005A2188">
        <w:rPr>
          <w:b w:val="0"/>
        </w:rPr>
        <w:t>2.1</w:t>
      </w:r>
      <w:r w:rsidRPr="00DE6DC4">
        <w:t xml:space="preserve"> </w:t>
      </w:r>
      <w:r w:rsidR="00A216F2">
        <w:rPr>
          <w:b w:val="0"/>
        </w:rPr>
        <w:t>NEW PROCUREMENT</w:t>
      </w:r>
      <w:bookmarkEnd w:id="17"/>
      <w:r w:rsidR="00A55278" w:rsidRPr="00DE6DC4">
        <w:t xml:space="preserve"> </w:t>
      </w:r>
    </w:p>
    <w:p w:rsidR="00A55278" w:rsidRDefault="00A55278" w:rsidP="00A55278">
      <w:pPr>
        <w:spacing w:before="0"/>
      </w:pPr>
    </w:p>
    <w:p w:rsidR="00C84F4F" w:rsidRDefault="00A216F2" w:rsidP="00A55278">
      <w:pPr>
        <w:spacing w:before="0"/>
      </w:pPr>
      <w:r>
        <w:t>When solicitations are released</w:t>
      </w:r>
      <w:r w:rsidR="00B70790">
        <w:t xml:space="preserve"> or contracts awarded</w:t>
      </w:r>
      <w:r>
        <w:t xml:space="preserve">, the </w:t>
      </w:r>
      <w:r w:rsidR="00064381">
        <w:t xml:space="preserve">Government Property planned to be provided to the Contractor as </w:t>
      </w:r>
      <w:r>
        <w:t xml:space="preserve">GFP is identified in accordance with </w:t>
      </w:r>
      <w:r w:rsidR="00B70790">
        <w:t>PGI 245.2-Solicitation and Evaluation Procedures</w:t>
      </w:r>
      <w:r w:rsidR="00064381">
        <w:t xml:space="preserve"> (reference d)</w:t>
      </w:r>
      <w:r w:rsidR="00B70790">
        <w:t xml:space="preserve">. </w:t>
      </w:r>
      <w:r w:rsidR="00EF58D0">
        <w:t xml:space="preserve">The PGI documents the structure and content of the attachment to the solicitation or contract that defines the GFP that will be provided to support contract execution. </w:t>
      </w:r>
      <w:r w:rsidR="00C84F4F">
        <w:t xml:space="preserve">Note that two separate attachments are defined: </w:t>
      </w:r>
    </w:p>
    <w:p w:rsidR="00A73DEB" w:rsidRDefault="00C84F4F" w:rsidP="00C84F4F">
      <w:pPr>
        <w:pStyle w:val="ListParagraph"/>
        <w:numPr>
          <w:ilvl w:val="0"/>
          <w:numId w:val="49"/>
        </w:numPr>
        <w:spacing w:before="0"/>
      </w:pPr>
      <w:r>
        <w:t>Items provided to the contractor</w:t>
      </w:r>
      <w:r w:rsidR="00A73DEB">
        <w:t xml:space="preserve"> that are:</w:t>
      </w:r>
    </w:p>
    <w:p w:rsidR="00C84F4F" w:rsidRDefault="00A73DEB" w:rsidP="00A73DEB">
      <w:pPr>
        <w:pStyle w:val="ListParagraph"/>
        <w:numPr>
          <w:ilvl w:val="1"/>
          <w:numId w:val="49"/>
        </w:numPr>
        <w:spacing w:before="0"/>
      </w:pPr>
      <w:r>
        <w:t>Serialized – typically</w:t>
      </w:r>
      <w:r w:rsidR="00C84F4F">
        <w:t xml:space="preserve"> for modification, upgrade, or repair</w:t>
      </w:r>
      <w:r>
        <w:t xml:space="preserve"> or tooling</w:t>
      </w:r>
    </w:p>
    <w:p w:rsidR="00A73DEB" w:rsidRDefault="00A73DEB" w:rsidP="00A73DEB">
      <w:pPr>
        <w:pStyle w:val="ListParagraph"/>
        <w:numPr>
          <w:ilvl w:val="1"/>
          <w:numId w:val="49"/>
        </w:numPr>
        <w:spacing w:before="0"/>
      </w:pPr>
      <w:r>
        <w:t>Non-serialized – typically consumables</w:t>
      </w:r>
    </w:p>
    <w:p w:rsidR="00A73DEB" w:rsidRDefault="00C84F4F" w:rsidP="00C84F4F">
      <w:pPr>
        <w:pStyle w:val="ListParagraph"/>
        <w:numPr>
          <w:ilvl w:val="0"/>
          <w:numId w:val="49"/>
        </w:numPr>
        <w:spacing w:before="0"/>
      </w:pPr>
      <w:r>
        <w:t xml:space="preserve">Items </w:t>
      </w:r>
      <w:r w:rsidR="00A73DEB">
        <w:t xml:space="preserve">that the contractor is authorized to requisition </w:t>
      </w:r>
      <w:r>
        <w:t>from the DoD Supply System</w:t>
      </w:r>
      <w:r w:rsidR="00A73DEB">
        <w:t xml:space="preserve"> differentiated by:</w:t>
      </w:r>
    </w:p>
    <w:p w:rsidR="00A73DEB" w:rsidRDefault="00A73DEB" w:rsidP="00A73DEB">
      <w:pPr>
        <w:pStyle w:val="ListParagraph"/>
        <w:numPr>
          <w:ilvl w:val="1"/>
          <w:numId w:val="49"/>
        </w:numPr>
        <w:spacing w:before="0"/>
      </w:pPr>
      <w:r>
        <w:t>Items that are funded by DoD and are therefore GFP</w:t>
      </w:r>
    </w:p>
    <w:p w:rsidR="00A73DEB" w:rsidRDefault="00A73DEB" w:rsidP="00A73DEB">
      <w:pPr>
        <w:pStyle w:val="ListParagraph"/>
        <w:numPr>
          <w:ilvl w:val="1"/>
          <w:numId w:val="49"/>
        </w:numPr>
        <w:spacing w:before="0"/>
      </w:pPr>
      <w:r>
        <w:t xml:space="preserve">Items that are </w:t>
      </w:r>
      <w:r w:rsidR="00CF2940">
        <w:t xml:space="preserve">reimbursable </w:t>
      </w:r>
      <w:r>
        <w:t>by</w:t>
      </w:r>
      <w:r w:rsidR="00885B71">
        <w:t xml:space="preserve"> the contractor </w:t>
      </w:r>
      <w:r w:rsidR="00CF2940">
        <w:t xml:space="preserve">that </w:t>
      </w:r>
      <w:r w:rsidR="00885B71">
        <w:t>are</w:t>
      </w:r>
      <w:r>
        <w:t xml:space="preserve"> considered Contractor Acquired Property (CAP)</w:t>
      </w:r>
      <w:r w:rsidR="00CF2940">
        <w:t xml:space="preserve"> and are not subject to reporting as GFP</w:t>
      </w:r>
    </w:p>
    <w:p w:rsidR="00A73DEB" w:rsidRDefault="00A73DEB" w:rsidP="00A73DEB">
      <w:pPr>
        <w:pStyle w:val="ListParagraph"/>
        <w:spacing w:before="0"/>
        <w:ind w:left="1440"/>
      </w:pPr>
    </w:p>
    <w:p w:rsidR="00A73DEB" w:rsidRDefault="00A73DEB" w:rsidP="00A73DEB">
      <w:pPr>
        <w:spacing w:before="0"/>
      </w:pPr>
      <w:r>
        <w:t>Note that CAP items are beyond the scope of this document until they become GFP when the contract assets are assign</w:t>
      </w:r>
      <w:r w:rsidR="005371B9">
        <w:t>ed to a new contract</w:t>
      </w:r>
      <w:r w:rsidR="00885B71">
        <w:t xml:space="preserve"> or when following CAP procedures</w:t>
      </w:r>
      <w:r w:rsidR="005371B9">
        <w:t>.</w:t>
      </w:r>
    </w:p>
    <w:p w:rsidR="00A73DEB" w:rsidRDefault="00A73DEB" w:rsidP="00A73DEB">
      <w:pPr>
        <w:spacing w:before="0"/>
      </w:pPr>
    </w:p>
    <w:p w:rsidR="00D96FF3" w:rsidRDefault="00A73DEB" w:rsidP="00965228">
      <w:pPr>
        <w:spacing w:before="0"/>
      </w:pPr>
      <w:r>
        <w:t>T</w:t>
      </w:r>
      <w:r w:rsidR="00EF58D0">
        <w:t>he PGI c</w:t>
      </w:r>
      <w:r w:rsidR="00B70790">
        <w:t>urrently</w:t>
      </w:r>
      <w:r w:rsidR="00EF58D0">
        <w:t xml:space="preserve"> describes </w:t>
      </w:r>
      <w:r>
        <w:t>the use of a contract attachment.</w:t>
      </w:r>
      <w:r w:rsidR="00D96FF3">
        <w:t xml:space="preserve"> Th</w:t>
      </w:r>
      <w:r w:rsidR="00965228">
        <w:t>e preferred method to create this attachment is to complete</w:t>
      </w:r>
      <w:r w:rsidR="00D96FF3">
        <w:t xml:space="preserve"> the Fillable Adobe</w:t>
      </w:r>
      <w:r w:rsidR="00965228">
        <w:t xml:space="preserve"> form</w:t>
      </w:r>
      <w:r w:rsidR="00CF2940">
        <w:t xml:space="preserve">. The form detailing the scheduled, </w:t>
      </w:r>
      <w:proofErr w:type="gramStart"/>
      <w:r w:rsidR="00CF2940">
        <w:t>DoD</w:t>
      </w:r>
      <w:proofErr w:type="gramEnd"/>
      <w:r w:rsidR="00CF2940">
        <w:t xml:space="preserve"> initiated GFP is </w:t>
      </w:r>
      <w:r w:rsidR="00965228">
        <w:t xml:space="preserve">available at </w:t>
      </w:r>
      <w:hyperlink r:id="rId14" w:history="1">
        <w:r w:rsidR="00CF2940" w:rsidRPr="00A629A4">
          <w:rPr>
            <w:rStyle w:val="Hyperlink"/>
          </w:rPr>
          <w:t>http://www.acq.osd.mil/dpap/pdi/pc/docs/ScheduledGovernmentFurnishedProperty-VERSION1.4_distributed_.pdf</w:t>
        </w:r>
      </w:hyperlink>
      <w:r w:rsidR="00CF2940">
        <w:t xml:space="preserve">.   The form to document Contractor authorized requisition of non-reimbursable (GFP) or </w:t>
      </w:r>
      <w:proofErr w:type="gramStart"/>
      <w:r w:rsidR="00CF2940">
        <w:t>reimbursable (CAP) items is</w:t>
      </w:r>
      <w:proofErr w:type="gramEnd"/>
      <w:r w:rsidR="00CF2940">
        <w:t xml:space="preserve"> available at </w:t>
      </w:r>
      <w:hyperlink r:id="rId15" w:history="1">
        <w:r w:rsidR="00CF2940" w:rsidRPr="00A629A4">
          <w:rPr>
            <w:rStyle w:val="Hyperlink"/>
          </w:rPr>
          <w:t>http://www.acq.osd.mil/dpap/pdi/pc/docs/RequisitionedGovernmentFurnishedProperty-VERSION1.3_distributed_0005.pdf</w:t>
        </w:r>
      </w:hyperlink>
      <w:r w:rsidR="00CF2940">
        <w:t xml:space="preserve">. Sample forms are </w:t>
      </w:r>
      <w:r w:rsidR="00965228">
        <w:t>included as A</w:t>
      </w:r>
      <w:r w:rsidR="005371B9">
        <w:t xml:space="preserve">ppendix </w:t>
      </w:r>
      <w:r w:rsidR="00F570AF">
        <w:t>B</w:t>
      </w:r>
      <w:r w:rsidR="00965228">
        <w:t>.  The form is then included a</w:t>
      </w:r>
      <w:r w:rsidR="00E601FE">
        <w:t>s an attachment to the contract or transmitted directly to the Electronic Document Access (EDA) where it can be retrieved for subsequent reference</w:t>
      </w:r>
      <w:r w:rsidR="004F171C">
        <w:t xml:space="preserve"> by either the contract holder or the </w:t>
      </w:r>
      <w:proofErr w:type="gramStart"/>
      <w:r w:rsidR="004F171C">
        <w:t>DoD</w:t>
      </w:r>
      <w:proofErr w:type="gramEnd"/>
      <w:r w:rsidR="004F171C">
        <w:t xml:space="preserve"> stakeholders</w:t>
      </w:r>
      <w:r w:rsidR="00E601FE">
        <w:t>.</w:t>
      </w:r>
    </w:p>
    <w:p w:rsidR="00D96FF3" w:rsidRDefault="00D96FF3" w:rsidP="00D96FF3">
      <w:pPr>
        <w:pStyle w:val="ListParagraph"/>
        <w:spacing w:before="0"/>
        <w:ind w:left="1080"/>
      </w:pPr>
    </w:p>
    <w:p w:rsidR="00A216F2" w:rsidRDefault="00A73DEB" w:rsidP="00D96FF3">
      <w:pPr>
        <w:spacing w:before="0"/>
      </w:pPr>
      <w:r>
        <w:t xml:space="preserve"> I</w:t>
      </w:r>
      <w:r w:rsidR="00B70790">
        <w:t xml:space="preserve">n the near future, the GFP </w:t>
      </w:r>
      <w:r>
        <w:t xml:space="preserve">attachments </w:t>
      </w:r>
      <w:r w:rsidR="00B70790">
        <w:t xml:space="preserve">will </w:t>
      </w:r>
      <w:r w:rsidR="00D96FF3">
        <w:t>become part of the Purchase Request Data Standard (PRDS) and the Procurement Data Standard (PDS) generated by</w:t>
      </w:r>
      <w:r w:rsidR="00B70790">
        <w:t xml:space="preserve"> Contract Writing systems</w:t>
      </w:r>
      <w:r w:rsidR="00D96FF3">
        <w:t xml:space="preserve">. Inclusion of the GFP data </w:t>
      </w:r>
      <w:r w:rsidR="00B70790">
        <w:t>establishe</w:t>
      </w:r>
      <w:r w:rsidR="00D96FF3">
        <w:t>s</w:t>
      </w:r>
      <w:r w:rsidR="00B70790">
        <w:t xml:space="preserve"> the </w:t>
      </w:r>
      <w:r w:rsidR="00D96FF3">
        <w:t xml:space="preserve">future </w:t>
      </w:r>
      <w:r w:rsidR="00B70790">
        <w:t xml:space="preserve">capability to </w:t>
      </w:r>
      <w:r w:rsidR="00F570AF">
        <w:t xml:space="preserve">electronically </w:t>
      </w:r>
      <w:r w:rsidR="00A458FB">
        <w:t>compare</w:t>
      </w:r>
      <w:r w:rsidR="00B70790">
        <w:t xml:space="preserve"> the planned GFP to </w:t>
      </w:r>
      <w:r w:rsidR="00D96FF3">
        <w:t>the GFP that</w:t>
      </w:r>
      <w:r w:rsidR="00EF58D0">
        <w:t xml:space="preserve"> has actually been provided to the contractor over the life of the contract.</w:t>
      </w:r>
    </w:p>
    <w:p w:rsidR="00EF58D0" w:rsidRDefault="00EF58D0" w:rsidP="00A55278">
      <w:pPr>
        <w:spacing w:before="0"/>
      </w:pPr>
    </w:p>
    <w:p w:rsidR="00A55278" w:rsidRPr="00DE6DC4" w:rsidRDefault="005A2188" w:rsidP="00193132">
      <w:pPr>
        <w:pStyle w:val="Heading2"/>
      </w:pPr>
      <w:bookmarkStart w:id="18" w:name="_Toc327516043"/>
      <w:r w:rsidRPr="005A2188">
        <w:rPr>
          <w:b w:val="0"/>
        </w:rPr>
        <w:t xml:space="preserve">2.2 </w:t>
      </w:r>
      <w:r w:rsidR="00820247">
        <w:rPr>
          <w:b w:val="0"/>
        </w:rPr>
        <w:t>EXISTING CONTRACTS</w:t>
      </w:r>
      <w:bookmarkEnd w:id="18"/>
    </w:p>
    <w:p w:rsidR="00AF4FCC" w:rsidRDefault="00AF4FCC" w:rsidP="00A55278">
      <w:pPr>
        <w:spacing w:before="0"/>
      </w:pPr>
    </w:p>
    <w:p w:rsidR="00820247" w:rsidRDefault="00820247" w:rsidP="00A55278">
      <w:pPr>
        <w:spacing w:before="0"/>
      </w:pPr>
      <w:r>
        <w:t xml:space="preserve">To establish a point-in-time baseline of GFP for existing contracts, the process depicted in Figure 1 is performed. This </w:t>
      </w:r>
      <w:r w:rsidR="00841978">
        <w:t>one-time process establishes a baseline from which future transactional custodial transactions can occur.</w:t>
      </w:r>
      <w:r w:rsidR="002E551F">
        <w:t xml:space="preserve"> This process is described in detail in the January 7, 2012 policy memorandum titled </w:t>
      </w:r>
      <w:r w:rsidR="005371B9">
        <w:t>“</w:t>
      </w:r>
      <w:r w:rsidR="002E551F" w:rsidRPr="005371B9">
        <w:rPr>
          <w:i/>
        </w:rPr>
        <w:t>Standard Data Elements for Government Furnished Property Baseline Establishment</w:t>
      </w:r>
      <w:r w:rsidR="005371B9">
        <w:rPr>
          <w:i/>
        </w:rPr>
        <w:t>”</w:t>
      </w:r>
      <w:r w:rsidR="002E551F">
        <w:t xml:space="preserve">. </w:t>
      </w:r>
      <w:r w:rsidR="006B28FF">
        <w:t>According to the memo, e</w:t>
      </w:r>
      <w:r w:rsidR="002E551F">
        <w:t>ach Component’s Fi</w:t>
      </w:r>
      <w:r w:rsidR="006B28FF">
        <w:t>nancial Improvement Plan will include a plan to establish its GFP baseline in accordance with this methodology.</w:t>
      </w:r>
      <w:r w:rsidR="00667C8A">
        <w:t xml:space="preserve"> The memo and accompanying methodology are found at </w:t>
      </w:r>
      <w:hyperlink r:id="rId16" w:history="1">
        <w:r w:rsidR="00667C8A" w:rsidRPr="00A629A4">
          <w:rPr>
            <w:rStyle w:val="Hyperlink"/>
          </w:rPr>
          <w:t>http://www.acq.osd.mil/pepolicy/pdfs/USA006862-11%20Standard%20Equipment%20Data%20Elements%20for%20Government%20Furnished%20Property%20Baseline%20Est%20.pdf</w:t>
        </w:r>
      </w:hyperlink>
      <w:r w:rsidR="00667C8A">
        <w:t xml:space="preserve">.  </w:t>
      </w:r>
    </w:p>
    <w:p w:rsidR="00C3549A" w:rsidRDefault="00C3549A" w:rsidP="00A55278">
      <w:pPr>
        <w:spacing w:before="0"/>
      </w:pPr>
    </w:p>
    <w:p w:rsidR="00C3549A" w:rsidRDefault="00C3549A" w:rsidP="00A55278">
      <w:pPr>
        <w:spacing w:before="0"/>
      </w:pPr>
      <w:r>
        <w:t xml:space="preserve">Note that the final step in the process is to ensure that property in the custody of a contractor is indicated as such in one (and only one) Accountable Property System of Record (APSR). </w:t>
      </w:r>
    </w:p>
    <w:p w:rsidR="006B28FF" w:rsidRDefault="006B28FF" w:rsidP="00A55278">
      <w:pPr>
        <w:spacing w:before="0"/>
      </w:pPr>
    </w:p>
    <w:p w:rsidR="006B28FF" w:rsidRDefault="002D02F7" w:rsidP="006B28FF">
      <w:pPr>
        <w:keepNext/>
        <w:spacing w:before="0"/>
      </w:pPr>
      <w:r w:rsidRPr="002D02F7">
        <w:rPr>
          <w:noProof/>
        </w:rPr>
        <w:drawing>
          <wp:inline distT="0" distB="0" distL="0" distR="0">
            <wp:extent cx="5029200" cy="3400425"/>
            <wp:effectExtent l="19050" t="0" r="0" b="0"/>
            <wp:docPr id="9"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858000"/>
                      <a:chOff x="0" y="0"/>
                      <a:chExt cx="9144000" cy="6858000"/>
                    </a:xfrm>
                  </a:grpSpPr>
                  <a:grpSp>
                    <a:nvGrpSpPr>
                      <a:cNvPr id="26" name="Group 25"/>
                      <a:cNvGrpSpPr/>
                    </a:nvGrpSpPr>
                    <a:grpSpPr>
                      <a:xfrm>
                        <a:off x="0" y="0"/>
                        <a:ext cx="9144000" cy="6858000"/>
                        <a:chOff x="0" y="0"/>
                        <a:chExt cx="9144000" cy="6858000"/>
                      </a:xfrm>
                    </a:grpSpPr>
                    <a:sp>
                      <a:nvSpPr>
                        <a:cNvPr id="4" name="Rectangle 3"/>
                        <a:cNvSpPr/>
                      </a:nvSpPr>
                      <a:spPr>
                        <a:xfrm>
                          <a:off x="914400" y="1981200"/>
                          <a:ext cx="1600200" cy="8382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Establish GFP  Baseline Plan</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ctangle 4"/>
                        <a:cNvSpPr/>
                      </a:nvSpPr>
                      <a:spPr>
                        <a:xfrm>
                          <a:off x="0" y="0"/>
                          <a:ext cx="838200" cy="68580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 name="Straight Connector 6"/>
                        <a:cNvCxnSpPr/>
                      </a:nvCxnSpPr>
                      <a:spPr>
                        <a:xfrm>
                          <a:off x="0" y="1676400"/>
                          <a:ext cx="9144000" cy="0"/>
                        </a:xfrm>
                        <a:prstGeom prst="line">
                          <a:avLst/>
                        </a:prstGeom>
                        <a:ln>
                          <a:solidFill>
                            <a:schemeClr val="tx2">
                              <a:lumMod val="50000"/>
                            </a:schemeClr>
                          </a:solidFill>
                        </a:ln>
                      </a:spPr>
                      <a:style>
                        <a:lnRef idx="1">
                          <a:schemeClr val="accent1"/>
                        </a:lnRef>
                        <a:fillRef idx="0">
                          <a:schemeClr val="accent1"/>
                        </a:fillRef>
                        <a:effectRef idx="0">
                          <a:schemeClr val="accent1"/>
                        </a:effectRef>
                        <a:fontRef idx="minor">
                          <a:schemeClr val="tx1"/>
                        </a:fontRef>
                      </a:style>
                    </a:cxnSp>
                    <a:cxnSp>
                      <a:nvCxnSpPr>
                        <a:cNvPr id="8" name="Straight Connector 7"/>
                        <a:cNvCxnSpPr/>
                      </a:nvCxnSpPr>
                      <a:spPr>
                        <a:xfrm>
                          <a:off x="0" y="3276600"/>
                          <a:ext cx="9144000" cy="0"/>
                        </a:xfrm>
                        <a:prstGeom prst="line">
                          <a:avLst/>
                        </a:prstGeom>
                        <a:ln>
                          <a:solidFill>
                            <a:schemeClr val="tx2">
                              <a:lumMod val="50000"/>
                            </a:schemeClr>
                          </a:solidFill>
                        </a:ln>
                      </a:spPr>
                      <a:style>
                        <a:lnRef idx="1">
                          <a:schemeClr val="accent1"/>
                        </a:lnRef>
                        <a:fillRef idx="0">
                          <a:schemeClr val="accent1"/>
                        </a:fillRef>
                        <a:effectRef idx="0">
                          <a:schemeClr val="accent1"/>
                        </a:effectRef>
                        <a:fontRef idx="minor">
                          <a:schemeClr val="tx1"/>
                        </a:fontRef>
                      </a:style>
                    </a:cxnSp>
                    <a:cxnSp>
                      <a:nvCxnSpPr>
                        <a:cNvPr id="9" name="Straight Connector 8"/>
                        <a:cNvCxnSpPr/>
                      </a:nvCxnSpPr>
                      <a:spPr>
                        <a:xfrm>
                          <a:off x="0" y="4953000"/>
                          <a:ext cx="9144000" cy="0"/>
                        </a:xfrm>
                        <a:prstGeom prst="line">
                          <a:avLst/>
                        </a:prstGeom>
                        <a:ln>
                          <a:solidFill>
                            <a:schemeClr val="tx2">
                              <a:lumMod val="50000"/>
                            </a:schemeClr>
                          </a:solidFill>
                        </a:ln>
                      </a:spPr>
                      <a:style>
                        <a:lnRef idx="1">
                          <a:schemeClr val="accent1"/>
                        </a:lnRef>
                        <a:fillRef idx="0">
                          <a:schemeClr val="accent1"/>
                        </a:fillRef>
                        <a:effectRef idx="0">
                          <a:schemeClr val="accent1"/>
                        </a:effectRef>
                        <a:fontRef idx="minor">
                          <a:schemeClr val="tx1"/>
                        </a:fontRef>
                      </a:style>
                    </a:cxnSp>
                    <a:sp>
                      <a:nvSpPr>
                        <a:cNvPr id="10" name="TextBox 9"/>
                        <a:cNvSpPr txBox="1"/>
                      </a:nvSpPr>
                      <a:spPr>
                        <a:xfrm rot="16200000">
                          <a:off x="22775" y="739226"/>
                          <a:ext cx="780983"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solidFill>
                                  <a:schemeClr val="bg1"/>
                                </a:solidFill>
                              </a:rPr>
                              <a:t>DCMA</a:t>
                            </a:r>
                            <a:endParaRPr lang="en-US" dirty="0">
                              <a:solidFill>
                                <a:schemeClr val="bg1"/>
                              </a:solidFill>
                            </a:endParaRPr>
                          </a:p>
                        </a:txBody>
                        <a:useSpRect/>
                      </a:txSp>
                    </a:sp>
                    <a:sp>
                      <a:nvSpPr>
                        <a:cNvPr id="11" name="TextBox 10"/>
                        <a:cNvSpPr txBox="1"/>
                      </a:nvSpPr>
                      <a:spPr>
                        <a:xfrm rot="16200000">
                          <a:off x="-232648" y="2217419"/>
                          <a:ext cx="1291829"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solidFill>
                                  <a:schemeClr val="bg1"/>
                                </a:solidFill>
                              </a:rPr>
                              <a:t>Component</a:t>
                            </a:r>
                            <a:endParaRPr lang="en-US" dirty="0">
                              <a:solidFill>
                                <a:schemeClr val="bg1"/>
                              </a:solidFill>
                            </a:endParaRPr>
                          </a:p>
                        </a:txBody>
                        <a:useSpRect/>
                      </a:txSp>
                    </a:sp>
                    <a:sp>
                      <a:nvSpPr>
                        <a:cNvPr id="12" name="TextBox 11"/>
                        <a:cNvSpPr txBox="1"/>
                      </a:nvSpPr>
                      <a:spPr>
                        <a:xfrm rot="16200000">
                          <a:off x="120558" y="3866025"/>
                          <a:ext cx="585417"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solidFill>
                                  <a:schemeClr val="bg1"/>
                                </a:solidFill>
                              </a:rPr>
                              <a:t>OSD</a:t>
                            </a:r>
                            <a:endParaRPr lang="en-US" dirty="0">
                              <a:solidFill>
                                <a:schemeClr val="bg1"/>
                              </a:solidFill>
                            </a:endParaRPr>
                          </a:p>
                        </a:txBody>
                        <a:useSpRect/>
                      </a:txSp>
                    </a:sp>
                    <a:sp>
                      <a:nvSpPr>
                        <a:cNvPr id="13" name="TextBox 12"/>
                        <a:cNvSpPr txBox="1"/>
                      </a:nvSpPr>
                      <a:spPr>
                        <a:xfrm rot="16200000">
                          <a:off x="-168594" y="5546406"/>
                          <a:ext cx="118705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solidFill>
                                  <a:schemeClr val="bg1"/>
                                </a:solidFill>
                              </a:rPr>
                              <a:t>Contractor</a:t>
                            </a:r>
                            <a:endParaRPr lang="en-US" dirty="0">
                              <a:solidFill>
                                <a:schemeClr val="bg1"/>
                              </a:solidFill>
                            </a:endParaRPr>
                          </a:p>
                        </a:txBody>
                        <a:useSpRect/>
                      </a:txSp>
                    </a:sp>
                    <a:sp>
                      <a:nvSpPr>
                        <a:cNvPr id="14" name="Rectangle 13"/>
                        <a:cNvSpPr/>
                      </a:nvSpPr>
                      <a:spPr>
                        <a:xfrm>
                          <a:off x="2743200" y="1981200"/>
                          <a:ext cx="1524000" cy="8382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Request GFP Upload</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6" name="Straight Arrow Connector 15"/>
                        <a:cNvCxnSpPr>
                          <a:stCxn id="4" idx="3"/>
                          <a:endCxn id="14" idx="1"/>
                        </a:cNvCxnSpPr>
                      </a:nvCxnSpPr>
                      <a:spPr>
                        <a:xfrm>
                          <a:off x="2514600" y="2400300"/>
                          <a:ext cx="228600"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7" name="Rectangle 16"/>
                        <a:cNvSpPr/>
                      </a:nvSpPr>
                      <a:spPr>
                        <a:xfrm>
                          <a:off x="2667000" y="5334000"/>
                          <a:ext cx="1676400" cy="8382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Upload GFP  (UII and </a:t>
                            </a:r>
                            <a:r>
                              <a:rPr lang="en-US" dirty="0" err="1" smtClean="0"/>
                              <a:t>nonUII</a:t>
                            </a:r>
                            <a:r>
                              <a:rPr lang="en-US" dirty="0" smtClean="0"/>
                              <a:t>)</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9" name="Straight Arrow Connector 18"/>
                        <a:cNvCxnSpPr>
                          <a:stCxn id="14" idx="2"/>
                          <a:endCxn id="17" idx="0"/>
                        </a:cNvCxnSpPr>
                      </a:nvCxnSpPr>
                      <a:spPr>
                        <a:xfrm>
                          <a:off x="3505200" y="2819400"/>
                          <a:ext cx="0" cy="25146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21" name="Rounded Rectangle 20"/>
                        <a:cNvSpPr/>
                      </a:nvSpPr>
                      <a:spPr>
                        <a:xfrm>
                          <a:off x="4191000" y="3733800"/>
                          <a:ext cx="1447800" cy="8382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Registry</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Oval 21"/>
                        <a:cNvSpPr/>
                      </a:nvSpPr>
                      <a:spPr>
                        <a:xfrm>
                          <a:off x="4191000" y="3505200"/>
                          <a:ext cx="14478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4" name="Shape 23"/>
                        <a:cNvCxnSpPr>
                          <a:stCxn id="17" idx="3"/>
                          <a:endCxn id="21" idx="2"/>
                        </a:cNvCxnSpPr>
                      </a:nvCxnSpPr>
                      <a:spPr>
                        <a:xfrm flipV="1">
                          <a:off x="4343400" y="4572000"/>
                          <a:ext cx="571500" cy="118110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sp>
                      <a:nvSpPr>
                        <a:cNvPr id="25" name="Rectangle 24"/>
                        <a:cNvSpPr/>
                      </a:nvSpPr>
                      <a:spPr>
                        <a:xfrm>
                          <a:off x="4114800" y="609600"/>
                          <a:ext cx="1600200" cy="838200"/>
                        </a:xfrm>
                        <a:prstGeom prst="rect">
                          <a:avLst/>
                        </a:prstGeom>
                        <a:solidFill>
                          <a:schemeClr val="tx2">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Validate (optional based on risk)</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7" name="Straight Arrow Connector 26"/>
                        <a:cNvCxnSpPr>
                          <a:stCxn id="25" idx="2"/>
                          <a:endCxn id="22" idx="0"/>
                        </a:cNvCxnSpPr>
                      </a:nvCxnSpPr>
                      <a:spPr>
                        <a:xfrm>
                          <a:off x="4914900" y="1447800"/>
                          <a:ext cx="0" cy="20574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28" name="Rectangle 27"/>
                        <a:cNvSpPr/>
                      </a:nvSpPr>
                      <a:spPr>
                        <a:xfrm>
                          <a:off x="5715000" y="1981200"/>
                          <a:ext cx="1600200" cy="8382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Mod Contract to reflect GFP</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0" name="Elbow Connector 29"/>
                        <a:cNvCxnSpPr>
                          <a:endCxn id="28" idx="2"/>
                        </a:cNvCxnSpPr>
                      </a:nvCxnSpPr>
                      <a:spPr>
                        <a:xfrm rot="5400000" flipH="1" flipV="1">
                          <a:off x="5162550" y="2914650"/>
                          <a:ext cx="1447800" cy="1257300"/>
                        </a:xfrm>
                        <a:prstGeom prst="bentConnector3">
                          <a:avLst>
                            <a:gd name="adj1" fmla="val -1259"/>
                          </a:avLst>
                        </a:prstGeom>
                        <a:ln>
                          <a:tailEnd type="arrow"/>
                        </a:ln>
                      </a:spPr>
                      <a:style>
                        <a:lnRef idx="1">
                          <a:schemeClr val="accent1"/>
                        </a:lnRef>
                        <a:fillRef idx="0">
                          <a:schemeClr val="accent1"/>
                        </a:fillRef>
                        <a:effectRef idx="0">
                          <a:schemeClr val="accent1"/>
                        </a:effectRef>
                        <a:fontRef idx="minor">
                          <a:schemeClr val="tx1"/>
                        </a:fontRef>
                      </a:style>
                    </a:cxnSp>
                    <a:sp>
                      <a:nvSpPr>
                        <a:cNvPr id="32" name="Rectangle 31"/>
                        <a:cNvSpPr/>
                      </a:nvSpPr>
                      <a:spPr>
                        <a:xfrm>
                          <a:off x="7696200" y="1981200"/>
                          <a:ext cx="1143000" cy="8382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Update</a:t>
                            </a:r>
                          </a:p>
                          <a:p>
                            <a:pPr algn="ctr"/>
                            <a:r>
                              <a:rPr lang="en-US" dirty="0" smtClean="0"/>
                              <a:t> APSR</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4" name="Straight Arrow Connector 33"/>
                        <a:cNvCxnSpPr>
                          <a:stCxn id="28" idx="3"/>
                          <a:endCxn id="32" idx="1"/>
                        </a:cNvCxnSpPr>
                      </a:nvCxnSpPr>
                      <a:spPr>
                        <a:xfrm>
                          <a:off x="7315200" y="2400300"/>
                          <a:ext cx="381000"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6B28FF" w:rsidRDefault="006B28FF" w:rsidP="006B28FF">
      <w:pPr>
        <w:pStyle w:val="Caption"/>
      </w:pPr>
      <w:bookmarkStart w:id="19" w:name="_Toc327516064"/>
      <w:proofErr w:type="gramStart"/>
      <w:r>
        <w:t xml:space="preserve">Figure </w:t>
      </w:r>
      <w:r w:rsidR="00B65468">
        <w:fldChar w:fldCharType="begin"/>
      </w:r>
      <w:r w:rsidR="004C120E">
        <w:instrText xml:space="preserve"> SEQ Figure \* ARABIC </w:instrText>
      </w:r>
      <w:r w:rsidR="00B65468">
        <w:fldChar w:fldCharType="separate"/>
      </w:r>
      <w:r w:rsidR="00FF3108">
        <w:rPr>
          <w:noProof/>
        </w:rPr>
        <w:t>2</w:t>
      </w:r>
      <w:r w:rsidR="00B65468">
        <w:fldChar w:fldCharType="end"/>
      </w:r>
      <w:r>
        <w:t>.</w:t>
      </w:r>
      <w:proofErr w:type="gramEnd"/>
      <w:r>
        <w:t xml:space="preserve"> GFP Baseline Establishment Approach</w:t>
      </w:r>
      <w:bookmarkEnd w:id="19"/>
    </w:p>
    <w:p w:rsidR="00841978" w:rsidRDefault="00841978" w:rsidP="00A55278">
      <w:pPr>
        <w:spacing w:before="0"/>
      </w:pPr>
    </w:p>
    <w:p w:rsidR="00841978" w:rsidRDefault="00841978" w:rsidP="00A55278">
      <w:pPr>
        <w:spacing w:before="0"/>
      </w:pPr>
    </w:p>
    <w:p w:rsidR="00820247" w:rsidRDefault="00820247" w:rsidP="00A55278">
      <w:pPr>
        <w:spacing w:before="0"/>
      </w:pPr>
    </w:p>
    <w:p w:rsidR="00A55278" w:rsidRPr="005A2188" w:rsidRDefault="005371B9" w:rsidP="0078593E">
      <w:pPr>
        <w:spacing w:before="0"/>
        <w:rPr>
          <w:sz w:val="26"/>
        </w:rPr>
      </w:pPr>
      <w:r>
        <w:rPr>
          <w:b/>
          <w:bCs/>
          <w:sz w:val="26"/>
          <w:szCs w:val="24"/>
        </w:rPr>
        <w:br w:type="page"/>
      </w:r>
      <w:bookmarkStart w:id="20" w:name="_Toc327516044"/>
      <w:r w:rsidR="00A55278" w:rsidRPr="005A2188">
        <w:rPr>
          <w:b/>
          <w:bCs/>
          <w:sz w:val="26"/>
          <w:szCs w:val="24"/>
        </w:rPr>
        <w:t xml:space="preserve">3.0 </w:t>
      </w:r>
      <w:r w:rsidR="00A55278" w:rsidRPr="005A2188">
        <w:rPr>
          <w:b/>
          <w:sz w:val="26"/>
        </w:rPr>
        <w:t xml:space="preserve">  </w:t>
      </w:r>
      <w:r w:rsidR="0029173A">
        <w:rPr>
          <w:b/>
          <w:sz w:val="26"/>
        </w:rPr>
        <w:t>VISIBILITY OF G</w:t>
      </w:r>
      <w:r w:rsidR="004401B6">
        <w:rPr>
          <w:b/>
          <w:bCs/>
          <w:sz w:val="26"/>
          <w:szCs w:val="24"/>
        </w:rPr>
        <w:t xml:space="preserve">FP </w:t>
      </w:r>
      <w:r w:rsidR="0029173A">
        <w:rPr>
          <w:b/>
          <w:bCs/>
          <w:sz w:val="26"/>
          <w:szCs w:val="24"/>
        </w:rPr>
        <w:t>STEWARDSHIP TO SUPPORT EXISTENCE AND COMPLETENESS</w:t>
      </w:r>
      <w:bookmarkEnd w:id="20"/>
    </w:p>
    <w:p w:rsidR="00A55278" w:rsidRDefault="00A55278" w:rsidP="00A55278">
      <w:pPr>
        <w:spacing w:before="0"/>
      </w:pPr>
    </w:p>
    <w:p w:rsidR="00E03F8C" w:rsidRDefault="00C3549A" w:rsidP="00A55278">
      <w:pPr>
        <w:spacing w:before="0"/>
      </w:pPr>
      <w:r>
        <w:t xml:space="preserve">Tracking GFP </w:t>
      </w:r>
      <w:r w:rsidR="0029173A">
        <w:t>steward</w:t>
      </w:r>
      <w:r>
        <w:t>ship requires electronic and coordinated communications between the component that owns the items and the contractor that is receiving or relinquishing custody of the items. As stated in DoD Instruction 5000.64</w:t>
      </w:r>
      <w:r w:rsidR="0029173A">
        <w:t xml:space="preserve"> and further directed in DoD Instruction 4161.02</w:t>
      </w:r>
      <w:r>
        <w:t>, electronic interfaces must be used between the DoD Accountable Property System of Record (APSR)</w:t>
      </w:r>
      <w:r w:rsidR="0029173A">
        <w:t>,</w:t>
      </w:r>
      <w:r>
        <w:t xml:space="preserve"> DoD Enterprise Systems</w:t>
      </w:r>
      <w:r w:rsidR="0029173A">
        <w:t>, and the contractor</w:t>
      </w:r>
      <w:r>
        <w:t xml:space="preserve"> to </w:t>
      </w:r>
      <w:r w:rsidR="003B4D20">
        <w:t>enable this communication.</w:t>
      </w:r>
    </w:p>
    <w:p w:rsidR="0029173A" w:rsidRDefault="0029173A" w:rsidP="00A55278">
      <w:pPr>
        <w:spacing w:before="0"/>
      </w:pPr>
    </w:p>
    <w:p w:rsidR="003B4D20" w:rsidRDefault="00461EE5" w:rsidP="00A55278">
      <w:pPr>
        <w:spacing w:before="0"/>
      </w:pPr>
      <w:r>
        <w:t xml:space="preserve">The GFP traceability lifecycle </w:t>
      </w:r>
      <w:r w:rsidR="00832E89">
        <w:t>is illustrated in Figure 3</w:t>
      </w:r>
      <w:r>
        <w:t xml:space="preserve">. </w:t>
      </w:r>
      <w:r w:rsidR="003B4D20">
        <w:t>The t</w:t>
      </w:r>
      <w:r>
        <w:t>o</w:t>
      </w:r>
      <w:r w:rsidR="00832E89">
        <w:t>ols and processes that</w:t>
      </w:r>
      <w:r>
        <w:t xml:space="preserve"> provide visibility of GFP </w:t>
      </w:r>
      <w:r w:rsidR="00832E89">
        <w:t xml:space="preserve">as it moves from </w:t>
      </w:r>
      <w:proofErr w:type="gramStart"/>
      <w:r w:rsidR="00832E89">
        <w:t>DoD</w:t>
      </w:r>
      <w:proofErr w:type="gramEnd"/>
      <w:r w:rsidR="00832E89">
        <w:t xml:space="preserve"> custody to Contractor custody and is potentially returned to DoD custody </w:t>
      </w:r>
      <w:r w:rsidR="003B4D20">
        <w:t xml:space="preserve">are described in the following paragraphs. </w:t>
      </w:r>
    </w:p>
    <w:p w:rsidR="00832E89" w:rsidRDefault="00832E89" w:rsidP="00A55278">
      <w:pPr>
        <w:spacing w:before="0"/>
      </w:pPr>
    </w:p>
    <w:p w:rsidR="00832E89" w:rsidRDefault="00832E89" w:rsidP="00832E89">
      <w:pPr>
        <w:keepNext/>
        <w:spacing w:before="0"/>
      </w:pPr>
      <w:r>
        <w:rPr>
          <w:noProof/>
        </w:rPr>
        <w:drawing>
          <wp:inline distT="0" distB="0" distL="0" distR="0">
            <wp:extent cx="5029200" cy="3707423"/>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029200" cy="3707423"/>
                    </a:xfrm>
                    <a:prstGeom prst="rect">
                      <a:avLst/>
                    </a:prstGeom>
                    <a:noFill/>
                    <a:ln w="9525">
                      <a:noFill/>
                      <a:miter lim="800000"/>
                      <a:headEnd/>
                      <a:tailEnd/>
                    </a:ln>
                  </pic:spPr>
                </pic:pic>
              </a:graphicData>
            </a:graphic>
          </wp:inline>
        </w:drawing>
      </w:r>
    </w:p>
    <w:p w:rsidR="00832E89" w:rsidRDefault="00832E89" w:rsidP="00832E89">
      <w:pPr>
        <w:pStyle w:val="Caption"/>
      </w:pPr>
      <w:bookmarkStart w:id="21" w:name="_Toc327516065"/>
      <w:proofErr w:type="gramStart"/>
      <w:r>
        <w:t xml:space="preserve">Figure </w:t>
      </w:r>
      <w:r w:rsidR="00DE56EA">
        <w:fldChar w:fldCharType="begin"/>
      </w:r>
      <w:r w:rsidR="00DE56EA">
        <w:instrText xml:space="preserve"> SEQ Figure \* ARABIC </w:instrText>
      </w:r>
      <w:r w:rsidR="00DE56EA">
        <w:fldChar w:fldCharType="separate"/>
      </w:r>
      <w:r w:rsidR="00FF3108">
        <w:rPr>
          <w:noProof/>
        </w:rPr>
        <w:t>3</w:t>
      </w:r>
      <w:r w:rsidR="00DE56EA">
        <w:rPr>
          <w:noProof/>
        </w:rPr>
        <w:fldChar w:fldCharType="end"/>
      </w:r>
      <w:r>
        <w:t>.</w:t>
      </w:r>
      <w:proofErr w:type="gramEnd"/>
      <w:r>
        <w:t xml:space="preserve"> GFP Lifecycle</w:t>
      </w:r>
      <w:bookmarkEnd w:id="21"/>
    </w:p>
    <w:p w:rsidR="003B4D20" w:rsidRDefault="003B4D20" w:rsidP="00A55278">
      <w:pPr>
        <w:spacing w:before="0"/>
      </w:pPr>
    </w:p>
    <w:p w:rsidR="00685DDF" w:rsidRDefault="003B4D20" w:rsidP="00193132">
      <w:pPr>
        <w:pStyle w:val="Heading2"/>
        <w:rPr>
          <w:b w:val="0"/>
          <w:bCs w:val="0"/>
          <w:szCs w:val="24"/>
        </w:rPr>
      </w:pPr>
      <w:bookmarkStart w:id="22" w:name="_Toc327516045"/>
      <w:r w:rsidRPr="005A2188">
        <w:rPr>
          <w:b w:val="0"/>
          <w:bCs w:val="0"/>
          <w:szCs w:val="24"/>
        </w:rPr>
        <w:t>3.</w:t>
      </w:r>
      <w:r>
        <w:rPr>
          <w:b w:val="0"/>
          <w:bCs w:val="0"/>
          <w:szCs w:val="24"/>
        </w:rPr>
        <w:t>1</w:t>
      </w:r>
      <w:r w:rsidRPr="005A2188">
        <w:rPr>
          <w:b w:val="0"/>
          <w:bCs w:val="0"/>
          <w:szCs w:val="24"/>
        </w:rPr>
        <w:t xml:space="preserve"> </w:t>
      </w:r>
      <w:r w:rsidRPr="005A2188">
        <w:rPr>
          <w:b w:val="0"/>
        </w:rPr>
        <w:t xml:space="preserve">  </w:t>
      </w:r>
      <w:r w:rsidR="00E601FE">
        <w:rPr>
          <w:b w:val="0"/>
          <w:bCs w:val="0"/>
          <w:szCs w:val="24"/>
        </w:rPr>
        <w:t>TYPES OF GFP</w:t>
      </w:r>
      <w:bookmarkEnd w:id="22"/>
    </w:p>
    <w:p w:rsidR="00685DDF" w:rsidRDefault="00685DDF" w:rsidP="003B4D20">
      <w:pPr>
        <w:spacing w:before="0"/>
        <w:rPr>
          <w:b/>
          <w:bCs/>
          <w:sz w:val="26"/>
          <w:szCs w:val="24"/>
        </w:rPr>
      </w:pPr>
    </w:p>
    <w:p w:rsidR="00685DDF" w:rsidRDefault="00685DDF" w:rsidP="003B4D20">
      <w:pPr>
        <w:spacing w:before="0"/>
        <w:rPr>
          <w:bCs/>
          <w:sz w:val="26"/>
          <w:szCs w:val="24"/>
        </w:rPr>
      </w:pPr>
      <w:r>
        <w:rPr>
          <w:bCs/>
          <w:sz w:val="26"/>
          <w:szCs w:val="24"/>
        </w:rPr>
        <w:t>Gover</w:t>
      </w:r>
      <w:r w:rsidR="00832E89">
        <w:rPr>
          <w:bCs/>
          <w:sz w:val="26"/>
          <w:szCs w:val="24"/>
        </w:rPr>
        <w:t>nment property is furnished to</w:t>
      </w:r>
      <w:r>
        <w:rPr>
          <w:bCs/>
          <w:sz w:val="26"/>
          <w:szCs w:val="24"/>
        </w:rPr>
        <w:t xml:space="preserve"> contractors for execution of the contract. This can include items that are to be re</w:t>
      </w:r>
      <w:r w:rsidR="00655AB8">
        <w:rPr>
          <w:bCs/>
          <w:sz w:val="26"/>
          <w:szCs w:val="24"/>
        </w:rPr>
        <w:t>paired, maintained or overhauled; the parts to execute repairs; tooling/test equipment; and items or materials consumed in the production or manufacturing process.</w:t>
      </w:r>
    </w:p>
    <w:p w:rsidR="00655AB8" w:rsidRDefault="00655AB8" w:rsidP="003B4D20">
      <w:pPr>
        <w:spacing w:before="0"/>
        <w:rPr>
          <w:bCs/>
          <w:sz w:val="26"/>
          <w:szCs w:val="24"/>
        </w:rPr>
      </w:pPr>
    </w:p>
    <w:p w:rsidR="00655AB8" w:rsidRDefault="00655AB8" w:rsidP="003B4D20">
      <w:pPr>
        <w:spacing w:before="0"/>
        <w:rPr>
          <w:bCs/>
          <w:sz w:val="26"/>
          <w:szCs w:val="24"/>
        </w:rPr>
      </w:pPr>
      <w:r>
        <w:rPr>
          <w:bCs/>
          <w:sz w:val="26"/>
          <w:szCs w:val="24"/>
        </w:rPr>
        <w:t xml:space="preserve">GFP is either assigned a </w:t>
      </w:r>
      <w:r w:rsidR="00AE1491">
        <w:rPr>
          <w:bCs/>
          <w:sz w:val="26"/>
          <w:szCs w:val="24"/>
        </w:rPr>
        <w:t>Unique Item Identifier (</w:t>
      </w:r>
      <w:r>
        <w:rPr>
          <w:bCs/>
          <w:sz w:val="26"/>
          <w:szCs w:val="24"/>
        </w:rPr>
        <w:t>UII</w:t>
      </w:r>
      <w:r w:rsidR="00AE1491">
        <w:rPr>
          <w:bCs/>
          <w:sz w:val="26"/>
          <w:szCs w:val="24"/>
        </w:rPr>
        <w:t>)</w:t>
      </w:r>
      <w:r>
        <w:rPr>
          <w:bCs/>
          <w:sz w:val="26"/>
          <w:szCs w:val="24"/>
        </w:rPr>
        <w:t xml:space="preserve"> and tracked using the UII or is </w:t>
      </w:r>
      <w:r w:rsidR="00AE1491">
        <w:rPr>
          <w:bCs/>
          <w:sz w:val="26"/>
          <w:szCs w:val="24"/>
        </w:rPr>
        <w:t xml:space="preserve">not assigned a UII and is tracked using NSN or other identifier. </w:t>
      </w:r>
      <w:r w:rsidR="00E1475F">
        <w:rPr>
          <w:bCs/>
          <w:sz w:val="26"/>
          <w:szCs w:val="24"/>
        </w:rPr>
        <w:t>The preference is that i</w:t>
      </w:r>
      <w:r w:rsidR="00AE1491">
        <w:rPr>
          <w:bCs/>
          <w:sz w:val="26"/>
          <w:szCs w:val="24"/>
        </w:rPr>
        <w:t xml:space="preserve">tems that </w:t>
      </w:r>
      <w:r w:rsidR="00E1475F">
        <w:rPr>
          <w:bCs/>
          <w:sz w:val="26"/>
          <w:szCs w:val="24"/>
        </w:rPr>
        <w:t xml:space="preserve">meet the UID criteria according to the contract are identified and marked prior to GFP custody transfer. If UII assignment and marking is not possible before custody transfer, </w:t>
      </w:r>
      <w:proofErr w:type="gramStart"/>
      <w:r w:rsidR="00E1475F">
        <w:rPr>
          <w:bCs/>
          <w:sz w:val="26"/>
          <w:szCs w:val="24"/>
        </w:rPr>
        <w:t>DoD</w:t>
      </w:r>
      <w:proofErr w:type="gramEnd"/>
      <w:r w:rsidR="00E1475F">
        <w:rPr>
          <w:bCs/>
          <w:sz w:val="26"/>
          <w:szCs w:val="24"/>
        </w:rPr>
        <w:t xml:space="preserve"> may include the UII assignment and marking as an additional contractor task while the items are in its custody.</w:t>
      </w:r>
    </w:p>
    <w:p w:rsidR="00E1475F" w:rsidRDefault="00E1475F" w:rsidP="003B4D20">
      <w:pPr>
        <w:spacing w:before="0"/>
        <w:rPr>
          <w:bCs/>
          <w:sz w:val="26"/>
          <w:szCs w:val="24"/>
        </w:rPr>
      </w:pPr>
    </w:p>
    <w:p w:rsidR="00E1475F" w:rsidRDefault="00E1475F" w:rsidP="003B4D20">
      <w:pPr>
        <w:spacing w:before="0"/>
        <w:rPr>
          <w:bCs/>
          <w:sz w:val="26"/>
          <w:szCs w:val="24"/>
        </w:rPr>
      </w:pPr>
      <w:r>
        <w:rPr>
          <w:bCs/>
          <w:sz w:val="26"/>
          <w:szCs w:val="24"/>
        </w:rPr>
        <w:t>Some items like consumables or bulk materials (e.g., metals) are not UID relevant but must still be tracked when custody transfers to a contractor as GFP.</w:t>
      </w:r>
    </w:p>
    <w:p w:rsidR="00E1475F" w:rsidRDefault="00E1475F" w:rsidP="003B4D20">
      <w:pPr>
        <w:spacing w:before="0"/>
        <w:rPr>
          <w:bCs/>
          <w:sz w:val="26"/>
          <w:szCs w:val="24"/>
        </w:rPr>
      </w:pPr>
    </w:p>
    <w:p w:rsidR="00E1475F" w:rsidRDefault="00E601FE" w:rsidP="00193132">
      <w:pPr>
        <w:pStyle w:val="Heading2"/>
        <w:rPr>
          <w:b w:val="0"/>
          <w:bCs w:val="0"/>
          <w:szCs w:val="24"/>
        </w:rPr>
      </w:pPr>
      <w:bookmarkStart w:id="23" w:name="_Toc327516046"/>
      <w:r>
        <w:rPr>
          <w:b w:val="0"/>
          <w:bCs w:val="0"/>
          <w:szCs w:val="24"/>
        </w:rPr>
        <w:t xml:space="preserve">3.2 </w:t>
      </w:r>
      <w:r w:rsidR="00C80438">
        <w:rPr>
          <w:b w:val="0"/>
          <w:bCs w:val="0"/>
          <w:szCs w:val="24"/>
        </w:rPr>
        <w:t>GFP PROCESS ROLES</w:t>
      </w:r>
      <w:bookmarkEnd w:id="23"/>
    </w:p>
    <w:p w:rsidR="00CC4F8F" w:rsidRDefault="00CC4F8F" w:rsidP="003B4D20">
      <w:pPr>
        <w:spacing w:before="0"/>
        <w:rPr>
          <w:b/>
          <w:bCs/>
          <w:sz w:val="26"/>
          <w:szCs w:val="24"/>
        </w:rPr>
      </w:pPr>
    </w:p>
    <w:p w:rsidR="00CC4F8F" w:rsidRDefault="00CC4F8F" w:rsidP="003B4D20">
      <w:pPr>
        <w:spacing w:before="0"/>
        <w:rPr>
          <w:bCs/>
          <w:sz w:val="26"/>
          <w:szCs w:val="24"/>
        </w:rPr>
      </w:pPr>
      <w:r>
        <w:rPr>
          <w:bCs/>
          <w:sz w:val="26"/>
          <w:szCs w:val="24"/>
        </w:rPr>
        <w:t xml:space="preserve">There are several key roles that enable the efficient transfer of custody between </w:t>
      </w:r>
      <w:proofErr w:type="gramStart"/>
      <w:r>
        <w:rPr>
          <w:bCs/>
          <w:sz w:val="26"/>
          <w:szCs w:val="24"/>
        </w:rPr>
        <w:t>DoD</w:t>
      </w:r>
      <w:proofErr w:type="gramEnd"/>
      <w:r>
        <w:rPr>
          <w:bCs/>
          <w:sz w:val="26"/>
          <w:szCs w:val="24"/>
        </w:rPr>
        <w:t xml:space="preserve"> and contractors.  While the following list is not intended to define all of the participants in the process, it lays out the </w:t>
      </w:r>
      <w:r w:rsidR="004E4C1C">
        <w:rPr>
          <w:bCs/>
          <w:sz w:val="26"/>
          <w:szCs w:val="24"/>
        </w:rPr>
        <w:t xml:space="preserve">generic roles and the </w:t>
      </w:r>
      <w:r>
        <w:rPr>
          <w:bCs/>
          <w:sz w:val="26"/>
          <w:szCs w:val="24"/>
        </w:rPr>
        <w:t>general flow of GFP transfer.</w:t>
      </w:r>
    </w:p>
    <w:p w:rsidR="00CC4F8F" w:rsidRDefault="00CC4F8F" w:rsidP="003B4D20">
      <w:pPr>
        <w:spacing w:before="0"/>
        <w:rPr>
          <w:bCs/>
          <w:sz w:val="26"/>
          <w:szCs w:val="24"/>
        </w:rPr>
      </w:pPr>
    </w:p>
    <w:p w:rsidR="00E601FE" w:rsidRDefault="00E601FE" w:rsidP="00E601FE">
      <w:pPr>
        <w:pStyle w:val="Caption"/>
        <w:keepNext/>
      </w:pPr>
      <w:proofErr w:type="gramStart"/>
      <w:r>
        <w:t xml:space="preserve">Table </w:t>
      </w:r>
      <w:r w:rsidR="00B65468">
        <w:fldChar w:fldCharType="begin"/>
      </w:r>
      <w:r w:rsidR="00011E69">
        <w:instrText xml:space="preserve"> SEQ Table \* ARABIC </w:instrText>
      </w:r>
      <w:r w:rsidR="00B65468">
        <w:fldChar w:fldCharType="separate"/>
      </w:r>
      <w:r w:rsidR="004A69AB">
        <w:rPr>
          <w:noProof/>
        </w:rPr>
        <w:t>1</w:t>
      </w:r>
      <w:r w:rsidR="00B65468">
        <w:fldChar w:fldCharType="end"/>
      </w:r>
      <w:r>
        <w:t>.</w:t>
      </w:r>
      <w:proofErr w:type="gramEnd"/>
      <w:r>
        <w:t xml:space="preserve"> Generic GFP Process Roles</w:t>
      </w:r>
    </w:p>
    <w:tbl>
      <w:tblPr>
        <w:tblStyle w:val="TableGrid"/>
        <w:tblW w:w="0" w:type="auto"/>
        <w:tblLook w:val="04A0" w:firstRow="1" w:lastRow="0" w:firstColumn="1" w:lastColumn="0" w:noHBand="0" w:noVBand="1"/>
      </w:tblPr>
      <w:tblGrid>
        <w:gridCol w:w="2394"/>
        <w:gridCol w:w="2394"/>
        <w:gridCol w:w="2394"/>
        <w:gridCol w:w="2394"/>
      </w:tblGrid>
      <w:tr w:rsidR="00026507" w:rsidTr="00CC4F8F">
        <w:tc>
          <w:tcPr>
            <w:tcW w:w="2394" w:type="dxa"/>
            <w:shd w:val="clear" w:color="auto" w:fill="B8CCE4" w:themeFill="accent1" w:themeFillTint="66"/>
          </w:tcPr>
          <w:p w:rsidR="00026507" w:rsidRDefault="00026507" w:rsidP="003B4D20">
            <w:pPr>
              <w:spacing w:before="0"/>
              <w:rPr>
                <w:b/>
                <w:bCs/>
                <w:sz w:val="26"/>
                <w:szCs w:val="24"/>
              </w:rPr>
            </w:pPr>
            <w:r>
              <w:rPr>
                <w:b/>
                <w:bCs/>
                <w:sz w:val="26"/>
                <w:szCs w:val="24"/>
              </w:rPr>
              <w:t>DoD Role</w:t>
            </w:r>
          </w:p>
        </w:tc>
        <w:tc>
          <w:tcPr>
            <w:tcW w:w="2394" w:type="dxa"/>
            <w:tcBorders>
              <w:right w:val="single" w:sz="18" w:space="0" w:color="auto"/>
            </w:tcBorders>
            <w:shd w:val="clear" w:color="auto" w:fill="B8CCE4" w:themeFill="accent1" w:themeFillTint="66"/>
          </w:tcPr>
          <w:p w:rsidR="00026507" w:rsidRPr="00026507" w:rsidRDefault="00CC4F8F" w:rsidP="003B4D20">
            <w:pPr>
              <w:spacing w:before="0"/>
              <w:rPr>
                <w:b/>
                <w:bCs/>
                <w:sz w:val="26"/>
                <w:szCs w:val="24"/>
              </w:rPr>
            </w:pPr>
            <w:r>
              <w:rPr>
                <w:b/>
                <w:bCs/>
                <w:sz w:val="26"/>
                <w:szCs w:val="24"/>
              </w:rPr>
              <w:t>Focus A</w:t>
            </w:r>
            <w:r w:rsidR="00026507" w:rsidRPr="00026507">
              <w:rPr>
                <w:b/>
                <w:bCs/>
                <w:sz w:val="26"/>
                <w:szCs w:val="24"/>
              </w:rPr>
              <w:t>rea</w:t>
            </w:r>
          </w:p>
        </w:tc>
        <w:tc>
          <w:tcPr>
            <w:tcW w:w="2394" w:type="dxa"/>
            <w:tcBorders>
              <w:left w:val="single" w:sz="18" w:space="0" w:color="auto"/>
            </w:tcBorders>
            <w:shd w:val="clear" w:color="auto" w:fill="D6E3BC" w:themeFill="accent3" w:themeFillTint="66"/>
          </w:tcPr>
          <w:p w:rsidR="00026507" w:rsidRDefault="00026507" w:rsidP="003B4D20">
            <w:pPr>
              <w:spacing w:before="0"/>
              <w:rPr>
                <w:b/>
                <w:bCs/>
                <w:sz w:val="26"/>
                <w:szCs w:val="24"/>
              </w:rPr>
            </w:pPr>
            <w:r>
              <w:rPr>
                <w:b/>
                <w:bCs/>
                <w:sz w:val="26"/>
                <w:szCs w:val="24"/>
              </w:rPr>
              <w:t>Contractor Role</w:t>
            </w:r>
          </w:p>
        </w:tc>
        <w:tc>
          <w:tcPr>
            <w:tcW w:w="2394" w:type="dxa"/>
            <w:shd w:val="clear" w:color="auto" w:fill="D6E3BC" w:themeFill="accent3" w:themeFillTint="66"/>
          </w:tcPr>
          <w:p w:rsidR="00026507" w:rsidRDefault="00026507" w:rsidP="003B4D20">
            <w:pPr>
              <w:spacing w:before="0"/>
              <w:rPr>
                <w:b/>
                <w:bCs/>
                <w:sz w:val="26"/>
                <w:szCs w:val="24"/>
              </w:rPr>
            </w:pPr>
            <w:r>
              <w:rPr>
                <w:b/>
                <w:bCs/>
                <w:sz w:val="26"/>
                <w:szCs w:val="24"/>
              </w:rPr>
              <w:t>Focus Area</w:t>
            </w:r>
          </w:p>
        </w:tc>
      </w:tr>
      <w:tr w:rsidR="00026507" w:rsidTr="00CC4F8F">
        <w:tc>
          <w:tcPr>
            <w:tcW w:w="2394" w:type="dxa"/>
          </w:tcPr>
          <w:p w:rsidR="00026507" w:rsidRPr="00026507" w:rsidRDefault="00026507" w:rsidP="003B4D20">
            <w:pPr>
              <w:spacing w:before="0"/>
              <w:rPr>
                <w:bCs/>
                <w:sz w:val="26"/>
                <w:szCs w:val="24"/>
              </w:rPr>
            </w:pPr>
            <w:r>
              <w:rPr>
                <w:bCs/>
                <w:sz w:val="26"/>
                <w:szCs w:val="24"/>
              </w:rPr>
              <w:t>Program Manager</w:t>
            </w:r>
          </w:p>
        </w:tc>
        <w:tc>
          <w:tcPr>
            <w:tcW w:w="2394" w:type="dxa"/>
            <w:tcBorders>
              <w:right w:val="single" w:sz="18" w:space="0" w:color="auto"/>
            </w:tcBorders>
          </w:tcPr>
          <w:p w:rsidR="00026507" w:rsidRPr="00026507" w:rsidRDefault="00026507" w:rsidP="003B4D20">
            <w:pPr>
              <w:spacing w:before="0"/>
              <w:rPr>
                <w:bCs/>
                <w:sz w:val="26"/>
                <w:szCs w:val="24"/>
              </w:rPr>
            </w:pPr>
            <w:r w:rsidRPr="00026507">
              <w:rPr>
                <w:bCs/>
                <w:sz w:val="26"/>
                <w:szCs w:val="24"/>
              </w:rPr>
              <w:t>Defines GFP need</w:t>
            </w:r>
          </w:p>
          <w:p w:rsidR="00026507" w:rsidRPr="00026507" w:rsidRDefault="00026507" w:rsidP="003B4D20">
            <w:pPr>
              <w:spacing w:before="0"/>
              <w:rPr>
                <w:bCs/>
                <w:sz w:val="26"/>
                <w:szCs w:val="24"/>
              </w:rPr>
            </w:pPr>
            <w:r w:rsidRPr="00026507">
              <w:rPr>
                <w:bCs/>
                <w:sz w:val="26"/>
                <w:szCs w:val="24"/>
              </w:rPr>
              <w:t xml:space="preserve">Initiates GFP send </w:t>
            </w:r>
          </w:p>
        </w:tc>
        <w:tc>
          <w:tcPr>
            <w:tcW w:w="2394" w:type="dxa"/>
            <w:tcBorders>
              <w:left w:val="single" w:sz="18" w:space="0" w:color="auto"/>
            </w:tcBorders>
          </w:tcPr>
          <w:p w:rsidR="00026507" w:rsidRPr="00026507" w:rsidRDefault="00026507" w:rsidP="003B4D20">
            <w:pPr>
              <w:spacing w:before="0"/>
              <w:rPr>
                <w:bCs/>
                <w:sz w:val="26"/>
                <w:szCs w:val="24"/>
              </w:rPr>
            </w:pPr>
            <w:r>
              <w:rPr>
                <w:bCs/>
                <w:sz w:val="26"/>
                <w:szCs w:val="24"/>
              </w:rPr>
              <w:t>Program Manager</w:t>
            </w:r>
          </w:p>
        </w:tc>
        <w:tc>
          <w:tcPr>
            <w:tcW w:w="2394" w:type="dxa"/>
          </w:tcPr>
          <w:p w:rsidR="00026507" w:rsidRPr="00026507" w:rsidRDefault="00026507" w:rsidP="003B4D20">
            <w:pPr>
              <w:spacing w:before="0"/>
              <w:rPr>
                <w:bCs/>
                <w:sz w:val="26"/>
                <w:szCs w:val="24"/>
              </w:rPr>
            </w:pPr>
            <w:r>
              <w:rPr>
                <w:bCs/>
                <w:sz w:val="26"/>
                <w:szCs w:val="24"/>
              </w:rPr>
              <w:t>Tracks need for and receipt of GFP</w:t>
            </w:r>
          </w:p>
        </w:tc>
      </w:tr>
      <w:tr w:rsidR="00351BE0" w:rsidTr="00CC4F8F">
        <w:tc>
          <w:tcPr>
            <w:tcW w:w="2394" w:type="dxa"/>
          </w:tcPr>
          <w:p w:rsidR="00351BE0" w:rsidRDefault="00351BE0" w:rsidP="003B4D20">
            <w:pPr>
              <w:spacing w:before="0"/>
              <w:rPr>
                <w:bCs/>
                <w:sz w:val="26"/>
                <w:szCs w:val="24"/>
              </w:rPr>
            </w:pPr>
            <w:r>
              <w:rPr>
                <w:bCs/>
                <w:sz w:val="26"/>
                <w:szCs w:val="24"/>
              </w:rPr>
              <w:t>Contracting Officer</w:t>
            </w:r>
          </w:p>
        </w:tc>
        <w:tc>
          <w:tcPr>
            <w:tcW w:w="2394" w:type="dxa"/>
            <w:tcBorders>
              <w:right w:val="single" w:sz="18" w:space="0" w:color="auto"/>
            </w:tcBorders>
          </w:tcPr>
          <w:p w:rsidR="00351BE0" w:rsidRDefault="00351BE0" w:rsidP="003B4D20">
            <w:pPr>
              <w:spacing w:before="0"/>
              <w:rPr>
                <w:bCs/>
                <w:sz w:val="26"/>
                <w:szCs w:val="24"/>
              </w:rPr>
            </w:pPr>
            <w:r>
              <w:rPr>
                <w:bCs/>
                <w:sz w:val="26"/>
                <w:szCs w:val="24"/>
              </w:rPr>
              <w:t>Documents GFP</w:t>
            </w:r>
          </w:p>
          <w:p w:rsidR="00351BE0" w:rsidRDefault="00351BE0" w:rsidP="003B4D20">
            <w:pPr>
              <w:spacing w:before="0"/>
              <w:rPr>
                <w:bCs/>
                <w:sz w:val="26"/>
                <w:szCs w:val="24"/>
              </w:rPr>
            </w:pPr>
            <w:r>
              <w:rPr>
                <w:bCs/>
                <w:sz w:val="26"/>
                <w:szCs w:val="24"/>
              </w:rPr>
              <w:t>Adjudicates GFP issues (e.g., late, defective, etc.)</w:t>
            </w:r>
          </w:p>
        </w:tc>
        <w:tc>
          <w:tcPr>
            <w:tcW w:w="2394" w:type="dxa"/>
            <w:tcBorders>
              <w:left w:val="single" w:sz="18" w:space="0" w:color="auto"/>
            </w:tcBorders>
          </w:tcPr>
          <w:p w:rsidR="00351BE0" w:rsidRDefault="00351BE0" w:rsidP="003B4D20">
            <w:pPr>
              <w:spacing w:before="0"/>
              <w:rPr>
                <w:bCs/>
                <w:sz w:val="26"/>
                <w:szCs w:val="24"/>
              </w:rPr>
            </w:pPr>
            <w:r>
              <w:rPr>
                <w:bCs/>
                <w:sz w:val="26"/>
                <w:szCs w:val="24"/>
              </w:rPr>
              <w:t>Contracts Department</w:t>
            </w:r>
          </w:p>
        </w:tc>
        <w:tc>
          <w:tcPr>
            <w:tcW w:w="2394" w:type="dxa"/>
          </w:tcPr>
          <w:p w:rsidR="00351BE0" w:rsidRDefault="00351BE0" w:rsidP="00026507">
            <w:pPr>
              <w:spacing w:before="0"/>
              <w:rPr>
                <w:bCs/>
                <w:sz w:val="26"/>
                <w:szCs w:val="24"/>
              </w:rPr>
            </w:pPr>
            <w:r>
              <w:rPr>
                <w:bCs/>
                <w:sz w:val="26"/>
                <w:szCs w:val="24"/>
              </w:rPr>
              <w:t>Assures timely and accurate GFP provision</w:t>
            </w:r>
          </w:p>
        </w:tc>
      </w:tr>
      <w:tr w:rsidR="00026507" w:rsidTr="00CC4F8F">
        <w:tc>
          <w:tcPr>
            <w:tcW w:w="2394" w:type="dxa"/>
          </w:tcPr>
          <w:p w:rsidR="00026507" w:rsidRPr="00026507" w:rsidRDefault="00A1081C" w:rsidP="003B4D20">
            <w:pPr>
              <w:spacing w:before="0"/>
              <w:rPr>
                <w:bCs/>
                <w:sz w:val="26"/>
                <w:szCs w:val="24"/>
              </w:rPr>
            </w:pPr>
            <w:r>
              <w:rPr>
                <w:bCs/>
                <w:sz w:val="26"/>
                <w:szCs w:val="24"/>
              </w:rPr>
              <w:t>Contract Management Activity</w:t>
            </w:r>
          </w:p>
        </w:tc>
        <w:tc>
          <w:tcPr>
            <w:tcW w:w="2394" w:type="dxa"/>
            <w:tcBorders>
              <w:right w:val="single" w:sz="18" w:space="0" w:color="auto"/>
            </w:tcBorders>
          </w:tcPr>
          <w:p w:rsidR="00026507" w:rsidRPr="00026507" w:rsidRDefault="00A1081C" w:rsidP="003B4D20">
            <w:pPr>
              <w:spacing w:before="0"/>
              <w:rPr>
                <w:bCs/>
                <w:sz w:val="26"/>
                <w:szCs w:val="24"/>
              </w:rPr>
            </w:pPr>
            <w:r>
              <w:rPr>
                <w:bCs/>
                <w:sz w:val="26"/>
                <w:szCs w:val="24"/>
              </w:rPr>
              <w:t>Reviews and approves contractor property management system</w:t>
            </w:r>
          </w:p>
        </w:tc>
        <w:tc>
          <w:tcPr>
            <w:tcW w:w="2394" w:type="dxa"/>
            <w:tcBorders>
              <w:left w:val="single" w:sz="18" w:space="0" w:color="auto"/>
            </w:tcBorders>
          </w:tcPr>
          <w:p w:rsidR="00026507" w:rsidRPr="00026507" w:rsidRDefault="00026507" w:rsidP="003B4D20">
            <w:pPr>
              <w:spacing w:before="0"/>
              <w:rPr>
                <w:bCs/>
                <w:sz w:val="26"/>
                <w:szCs w:val="24"/>
              </w:rPr>
            </w:pPr>
            <w:r>
              <w:rPr>
                <w:bCs/>
                <w:sz w:val="26"/>
                <w:szCs w:val="24"/>
              </w:rPr>
              <w:t>Property Manager</w:t>
            </w:r>
          </w:p>
        </w:tc>
        <w:tc>
          <w:tcPr>
            <w:tcW w:w="2394" w:type="dxa"/>
          </w:tcPr>
          <w:p w:rsidR="00026507" w:rsidRPr="00026507" w:rsidRDefault="00026507" w:rsidP="00026507">
            <w:pPr>
              <w:spacing w:before="0"/>
              <w:rPr>
                <w:bCs/>
                <w:sz w:val="26"/>
                <w:szCs w:val="24"/>
              </w:rPr>
            </w:pPr>
            <w:r>
              <w:rPr>
                <w:bCs/>
                <w:sz w:val="26"/>
                <w:szCs w:val="24"/>
              </w:rPr>
              <w:t>Maintains GFP  processes/systems</w:t>
            </w:r>
          </w:p>
        </w:tc>
      </w:tr>
      <w:tr w:rsidR="00026507" w:rsidTr="00CC4F8F">
        <w:tc>
          <w:tcPr>
            <w:tcW w:w="2394" w:type="dxa"/>
          </w:tcPr>
          <w:p w:rsidR="00026507" w:rsidRPr="00026507" w:rsidRDefault="00026507" w:rsidP="003B4D20">
            <w:pPr>
              <w:spacing w:before="0"/>
              <w:rPr>
                <w:bCs/>
                <w:sz w:val="26"/>
                <w:szCs w:val="24"/>
              </w:rPr>
            </w:pPr>
            <w:r>
              <w:rPr>
                <w:bCs/>
                <w:sz w:val="26"/>
                <w:szCs w:val="24"/>
              </w:rPr>
              <w:t>M</w:t>
            </w:r>
            <w:r w:rsidR="00183DA1">
              <w:rPr>
                <w:bCs/>
                <w:sz w:val="26"/>
                <w:szCs w:val="24"/>
              </w:rPr>
              <w:t>anagement Control Activity (MCA)</w:t>
            </w:r>
          </w:p>
        </w:tc>
        <w:tc>
          <w:tcPr>
            <w:tcW w:w="2394" w:type="dxa"/>
            <w:tcBorders>
              <w:right w:val="single" w:sz="18" w:space="0" w:color="auto"/>
            </w:tcBorders>
          </w:tcPr>
          <w:p w:rsidR="00026507" w:rsidRDefault="00183DA1" w:rsidP="003B4D20">
            <w:pPr>
              <w:spacing w:before="0"/>
              <w:rPr>
                <w:bCs/>
                <w:sz w:val="26"/>
                <w:szCs w:val="24"/>
              </w:rPr>
            </w:pPr>
            <w:r>
              <w:rPr>
                <w:bCs/>
                <w:sz w:val="26"/>
                <w:szCs w:val="24"/>
              </w:rPr>
              <w:t>Coordinates GFP provisioning</w:t>
            </w:r>
          </w:p>
          <w:p w:rsidR="00183DA1" w:rsidRPr="00183DA1" w:rsidRDefault="00183DA1" w:rsidP="003B4D20">
            <w:pPr>
              <w:spacing w:before="0"/>
              <w:rPr>
                <w:bCs/>
                <w:sz w:val="26"/>
                <w:szCs w:val="24"/>
              </w:rPr>
            </w:pPr>
            <w:r>
              <w:rPr>
                <w:bCs/>
                <w:sz w:val="26"/>
                <w:szCs w:val="24"/>
              </w:rPr>
              <w:t>Approves requests</w:t>
            </w:r>
          </w:p>
        </w:tc>
        <w:tc>
          <w:tcPr>
            <w:tcW w:w="2394" w:type="dxa"/>
            <w:tcBorders>
              <w:left w:val="single" w:sz="18" w:space="0" w:color="auto"/>
            </w:tcBorders>
          </w:tcPr>
          <w:p w:rsidR="00026507" w:rsidRPr="00183DA1" w:rsidRDefault="00183DA1" w:rsidP="003B4D20">
            <w:pPr>
              <w:spacing w:before="0"/>
              <w:rPr>
                <w:bCs/>
                <w:sz w:val="26"/>
                <w:szCs w:val="24"/>
              </w:rPr>
            </w:pPr>
            <w:r>
              <w:rPr>
                <w:bCs/>
                <w:sz w:val="26"/>
                <w:szCs w:val="24"/>
              </w:rPr>
              <w:t>Material Coordinator</w:t>
            </w:r>
          </w:p>
        </w:tc>
        <w:tc>
          <w:tcPr>
            <w:tcW w:w="2394" w:type="dxa"/>
          </w:tcPr>
          <w:p w:rsidR="00026507" w:rsidRPr="00183DA1" w:rsidRDefault="00183DA1" w:rsidP="003B4D20">
            <w:pPr>
              <w:spacing w:before="0"/>
              <w:rPr>
                <w:bCs/>
                <w:sz w:val="26"/>
                <w:szCs w:val="24"/>
              </w:rPr>
            </w:pPr>
            <w:r>
              <w:rPr>
                <w:bCs/>
                <w:sz w:val="26"/>
                <w:szCs w:val="24"/>
              </w:rPr>
              <w:t>Monitors/manages inbound and outbound GFP</w:t>
            </w:r>
          </w:p>
        </w:tc>
      </w:tr>
      <w:tr w:rsidR="00CC4F8F" w:rsidTr="00CC4F8F">
        <w:tc>
          <w:tcPr>
            <w:tcW w:w="2394" w:type="dxa"/>
          </w:tcPr>
          <w:p w:rsidR="00CC4F8F" w:rsidRPr="00CC4F8F" w:rsidRDefault="00CC4F8F" w:rsidP="003B4D20">
            <w:pPr>
              <w:spacing w:before="0"/>
              <w:rPr>
                <w:bCs/>
                <w:sz w:val="26"/>
                <w:szCs w:val="24"/>
              </w:rPr>
            </w:pPr>
            <w:r>
              <w:rPr>
                <w:bCs/>
                <w:sz w:val="26"/>
                <w:szCs w:val="24"/>
              </w:rPr>
              <w:t>Shipping/Receiving</w:t>
            </w:r>
          </w:p>
        </w:tc>
        <w:tc>
          <w:tcPr>
            <w:tcW w:w="2394" w:type="dxa"/>
            <w:tcBorders>
              <w:right w:val="single" w:sz="18" w:space="0" w:color="auto"/>
            </w:tcBorders>
          </w:tcPr>
          <w:p w:rsidR="00CC4F8F" w:rsidRPr="00CC4F8F" w:rsidRDefault="00CC4F8F" w:rsidP="003B4D20">
            <w:pPr>
              <w:spacing w:before="0"/>
              <w:rPr>
                <w:bCs/>
                <w:sz w:val="26"/>
                <w:szCs w:val="24"/>
              </w:rPr>
            </w:pPr>
            <w:r>
              <w:rPr>
                <w:bCs/>
                <w:sz w:val="26"/>
                <w:szCs w:val="24"/>
              </w:rPr>
              <w:t>Physically picks/ships or receives/stores GFP</w:t>
            </w:r>
          </w:p>
        </w:tc>
        <w:tc>
          <w:tcPr>
            <w:tcW w:w="2394" w:type="dxa"/>
            <w:tcBorders>
              <w:left w:val="single" w:sz="18" w:space="0" w:color="auto"/>
            </w:tcBorders>
          </w:tcPr>
          <w:p w:rsidR="00CC4F8F" w:rsidRPr="00CC4F8F" w:rsidRDefault="00CC4F8F" w:rsidP="00CF25EA">
            <w:pPr>
              <w:spacing w:before="0"/>
              <w:rPr>
                <w:bCs/>
                <w:sz w:val="26"/>
                <w:szCs w:val="24"/>
              </w:rPr>
            </w:pPr>
            <w:r>
              <w:rPr>
                <w:bCs/>
                <w:sz w:val="26"/>
                <w:szCs w:val="24"/>
              </w:rPr>
              <w:t>Shipping/Receiving</w:t>
            </w:r>
          </w:p>
        </w:tc>
        <w:tc>
          <w:tcPr>
            <w:tcW w:w="2394" w:type="dxa"/>
          </w:tcPr>
          <w:p w:rsidR="00CC4F8F" w:rsidRPr="00CC4F8F" w:rsidRDefault="00CC4F8F" w:rsidP="00CF25EA">
            <w:pPr>
              <w:spacing w:before="0"/>
              <w:rPr>
                <w:bCs/>
                <w:sz w:val="26"/>
                <w:szCs w:val="24"/>
              </w:rPr>
            </w:pPr>
            <w:r>
              <w:rPr>
                <w:bCs/>
                <w:sz w:val="26"/>
                <w:szCs w:val="24"/>
              </w:rPr>
              <w:t>Physically picks/ships or receives/stores GFP</w:t>
            </w:r>
          </w:p>
        </w:tc>
      </w:tr>
    </w:tbl>
    <w:p w:rsidR="00026507" w:rsidRDefault="00026507" w:rsidP="003B4D20">
      <w:pPr>
        <w:spacing w:before="0"/>
        <w:rPr>
          <w:b/>
          <w:bCs/>
          <w:sz w:val="26"/>
          <w:szCs w:val="24"/>
        </w:rPr>
      </w:pPr>
    </w:p>
    <w:p w:rsidR="00193132" w:rsidRDefault="008F0AA8" w:rsidP="000D4047">
      <w:pPr>
        <w:pStyle w:val="Heading2"/>
        <w:rPr>
          <w:bCs w:val="0"/>
          <w:szCs w:val="24"/>
        </w:rPr>
      </w:pPr>
      <w:bookmarkStart w:id="24" w:name="_Toc327516047"/>
      <w:r>
        <w:rPr>
          <w:bCs w:val="0"/>
          <w:szCs w:val="24"/>
        </w:rPr>
        <w:t>3.4 P</w:t>
      </w:r>
      <w:r w:rsidR="006772D2">
        <w:rPr>
          <w:bCs w:val="0"/>
          <w:szCs w:val="24"/>
        </w:rPr>
        <w:t>ROVIDING GFP TO THE CONTRACTOR</w:t>
      </w:r>
      <w:bookmarkEnd w:id="24"/>
    </w:p>
    <w:p w:rsidR="00B42C92" w:rsidRDefault="00B42C92" w:rsidP="00B42C92">
      <w:pPr>
        <w:spacing w:before="0"/>
        <w:rPr>
          <w:bCs/>
          <w:sz w:val="26"/>
          <w:szCs w:val="24"/>
        </w:rPr>
      </w:pPr>
    </w:p>
    <w:p w:rsidR="00E1332E" w:rsidRDefault="00E1332E" w:rsidP="00B42C92">
      <w:pPr>
        <w:spacing w:before="0"/>
        <w:rPr>
          <w:bCs/>
          <w:sz w:val="26"/>
          <w:szCs w:val="24"/>
        </w:rPr>
      </w:pPr>
      <w:r>
        <w:rPr>
          <w:bCs/>
          <w:sz w:val="26"/>
          <w:szCs w:val="24"/>
        </w:rPr>
        <w:t>When</w:t>
      </w:r>
      <w:r w:rsidR="000D4047">
        <w:rPr>
          <w:bCs/>
          <w:sz w:val="26"/>
          <w:szCs w:val="24"/>
        </w:rPr>
        <w:t xml:space="preserve"> delivery of GFP to the contractor is </w:t>
      </w:r>
      <w:r w:rsidR="00476654">
        <w:rPr>
          <w:bCs/>
          <w:sz w:val="26"/>
          <w:szCs w:val="24"/>
        </w:rPr>
        <w:t>contractually required</w:t>
      </w:r>
      <w:r w:rsidR="00394A47">
        <w:rPr>
          <w:bCs/>
          <w:sz w:val="26"/>
          <w:szCs w:val="24"/>
        </w:rPr>
        <w:t xml:space="preserve"> </w:t>
      </w:r>
      <w:proofErr w:type="gramStart"/>
      <w:r w:rsidR="000D4047">
        <w:rPr>
          <w:bCs/>
          <w:sz w:val="26"/>
          <w:szCs w:val="24"/>
        </w:rPr>
        <w:t>DoD</w:t>
      </w:r>
      <w:proofErr w:type="gramEnd"/>
      <w:r w:rsidR="000D4047">
        <w:rPr>
          <w:bCs/>
          <w:sz w:val="26"/>
          <w:szCs w:val="24"/>
        </w:rPr>
        <w:t xml:space="preserve"> will initiate the transfer of the GFP items to the contractor</w:t>
      </w:r>
      <w:r>
        <w:rPr>
          <w:bCs/>
          <w:sz w:val="26"/>
          <w:szCs w:val="24"/>
        </w:rPr>
        <w:t xml:space="preserve">.  </w:t>
      </w:r>
      <w:r w:rsidR="00476654">
        <w:rPr>
          <w:bCs/>
          <w:sz w:val="26"/>
          <w:szCs w:val="24"/>
        </w:rPr>
        <w:t>GFP transfer has traditionally been a paper-based process using DD</w:t>
      </w:r>
      <w:r w:rsidR="0002160A">
        <w:rPr>
          <w:bCs/>
          <w:sz w:val="26"/>
          <w:szCs w:val="24"/>
        </w:rPr>
        <w:t xml:space="preserve"> </w:t>
      </w:r>
      <w:r w:rsidR="00476654">
        <w:rPr>
          <w:bCs/>
          <w:sz w:val="26"/>
          <w:szCs w:val="24"/>
        </w:rPr>
        <w:t>Form 1149 where items frequently arrive at the Contractor facility with little documentation and no notification that they are being delivered. This approach causes significant research effort and the potential for</w:t>
      </w:r>
      <w:r w:rsidR="00A1081C">
        <w:rPr>
          <w:bCs/>
          <w:sz w:val="26"/>
          <w:szCs w:val="24"/>
        </w:rPr>
        <w:t xml:space="preserve"> errors</w:t>
      </w:r>
      <w:proofErr w:type="gramStart"/>
      <w:r w:rsidR="00A1081C">
        <w:rPr>
          <w:bCs/>
          <w:sz w:val="26"/>
          <w:szCs w:val="24"/>
        </w:rPr>
        <w:t>.</w:t>
      </w:r>
      <w:r w:rsidR="00476654">
        <w:rPr>
          <w:bCs/>
          <w:sz w:val="26"/>
          <w:szCs w:val="24"/>
        </w:rPr>
        <w:t>.</w:t>
      </w:r>
      <w:proofErr w:type="gramEnd"/>
      <w:r w:rsidR="00476654">
        <w:rPr>
          <w:bCs/>
          <w:sz w:val="26"/>
          <w:szCs w:val="24"/>
        </w:rPr>
        <w:t xml:space="preserve"> These non-electronic means property transfer are being replaced by </w:t>
      </w:r>
      <w:r>
        <w:rPr>
          <w:bCs/>
          <w:sz w:val="26"/>
          <w:szCs w:val="24"/>
        </w:rPr>
        <w:t>two methods</w:t>
      </w:r>
      <w:r w:rsidR="00476654">
        <w:rPr>
          <w:bCs/>
          <w:sz w:val="26"/>
          <w:szCs w:val="24"/>
        </w:rPr>
        <w:t xml:space="preserve"> that use electronic transactions</w:t>
      </w:r>
      <w:r>
        <w:rPr>
          <w:bCs/>
          <w:sz w:val="26"/>
          <w:szCs w:val="24"/>
        </w:rPr>
        <w:t xml:space="preserve"> to provision GFP to the contractor using the Enterprise Tools</w:t>
      </w:r>
      <w:r w:rsidR="00394A47">
        <w:rPr>
          <w:bCs/>
          <w:sz w:val="26"/>
          <w:szCs w:val="24"/>
        </w:rPr>
        <w:t>: via WAWF and via the Supply System</w:t>
      </w:r>
      <w:r>
        <w:rPr>
          <w:bCs/>
          <w:sz w:val="26"/>
          <w:szCs w:val="24"/>
        </w:rPr>
        <w:t>.</w:t>
      </w:r>
    </w:p>
    <w:p w:rsidR="00E1332E" w:rsidRDefault="00E1332E" w:rsidP="00B42C92">
      <w:pPr>
        <w:spacing w:before="0"/>
        <w:rPr>
          <w:bCs/>
          <w:sz w:val="26"/>
          <w:szCs w:val="24"/>
        </w:rPr>
      </w:pPr>
    </w:p>
    <w:p w:rsidR="00E1332E" w:rsidRDefault="00E1332E" w:rsidP="00E1332E">
      <w:pPr>
        <w:pStyle w:val="Heading3"/>
        <w:rPr>
          <w:b w:val="0"/>
          <w:bCs/>
          <w:sz w:val="26"/>
          <w:szCs w:val="24"/>
        </w:rPr>
      </w:pPr>
      <w:bookmarkStart w:id="25" w:name="_Toc327516048"/>
      <w:r w:rsidRPr="00E1332E">
        <w:rPr>
          <w:b w:val="0"/>
          <w:bCs/>
          <w:sz w:val="26"/>
          <w:szCs w:val="24"/>
        </w:rPr>
        <w:t>3.4.1 GFP Provisioning via WAWF</w:t>
      </w:r>
      <w:bookmarkEnd w:id="25"/>
    </w:p>
    <w:p w:rsidR="00394A47" w:rsidRPr="00E1332E" w:rsidRDefault="00394A47" w:rsidP="00E1332E">
      <w:pPr>
        <w:pStyle w:val="Heading3"/>
        <w:rPr>
          <w:b w:val="0"/>
          <w:bCs/>
          <w:sz w:val="26"/>
          <w:szCs w:val="24"/>
        </w:rPr>
      </w:pPr>
    </w:p>
    <w:p w:rsidR="000D4047" w:rsidRDefault="00394A47" w:rsidP="00B42C92">
      <w:pPr>
        <w:spacing w:before="0"/>
        <w:rPr>
          <w:bCs/>
          <w:sz w:val="26"/>
          <w:szCs w:val="24"/>
        </w:rPr>
      </w:pPr>
      <w:r>
        <w:rPr>
          <w:bCs/>
          <w:sz w:val="26"/>
          <w:szCs w:val="24"/>
        </w:rPr>
        <w:t xml:space="preserve">The </w:t>
      </w:r>
      <w:proofErr w:type="gramStart"/>
      <w:r>
        <w:rPr>
          <w:bCs/>
          <w:sz w:val="26"/>
          <w:szCs w:val="24"/>
        </w:rPr>
        <w:t>DoD</w:t>
      </w:r>
      <w:proofErr w:type="gramEnd"/>
      <w:r>
        <w:rPr>
          <w:bCs/>
          <w:sz w:val="26"/>
          <w:szCs w:val="24"/>
        </w:rPr>
        <w:t xml:space="preserve"> entity responsible for managing the GFP (generally the MCA) must have the role of </w:t>
      </w:r>
      <w:r w:rsidRPr="00A14B59">
        <w:rPr>
          <w:b/>
          <w:bCs/>
          <w:sz w:val="26"/>
          <w:szCs w:val="24"/>
        </w:rPr>
        <w:t>Government Property Shipper</w:t>
      </w:r>
      <w:r>
        <w:rPr>
          <w:bCs/>
          <w:sz w:val="26"/>
          <w:szCs w:val="24"/>
        </w:rPr>
        <w:t xml:space="preserve"> established. WAWF access and role requests are communicated to and executed by the WAWF </w:t>
      </w:r>
      <w:r w:rsidR="00A14B59">
        <w:rPr>
          <w:bCs/>
          <w:sz w:val="26"/>
          <w:szCs w:val="24"/>
        </w:rPr>
        <w:t>Group Administrator</w:t>
      </w:r>
      <w:r>
        <w:rPr>
          <w:bCs/>
          <w:sz w:val="26"/>
          <w:szCs w:val="24"/>
        </w:rPr>
        <w:t xml:space="preserve"> Manager (GAM). The GAM can </w:t>
      </w:r>
      <w:r w:rsidR="00A14B59">
        <w:rPr>
          <w:bCs/>
          <w:sz w:val="26"/>
          <w:szCs w:val="24"/>
        </w:rPr>
        <w:t>be found under the “User” tab, “Group Administrator Lookup” selection.</w:t>
      </w:r>
    </w:p>
    <w:p w:rsidR="00A14B59" w:rsidRDefault="00A14B59" w:rsidP="00B42C92">
      <w:pPr>
        <w:spacing w:before="0"/>
        <w:rPr>
          <w:bCs/>
          <w:sz w:val="26"/>
          <w:szCs w:val="24"/>
        </w:rPr>
      </w:pPr>
    </w:p>
    <w:p w:rsidR="00A14B59" w:rsidRDefault="00A14B59" w:rsidP="00B42C92">
      <w:pPr>
        <w:spacing w:before="0"/>
        <w:rPr>
          <w:bCs/>
          <w:sz w:val="26"/>
          <w:szCs w:val="24"/>
        </w:rPr>
      </w:pPr>
      <w:r>
        <w:rPr>
          <w:bCs/>
          <w:sz w:val="26"/>
          <w:szCs w:val="24"/>
        </w:rPr>
        <w:t xml:space="preserve">It is also necessary that the Contractor receiving the GFP have the WAWF role of </w:t>
      </w:r>
      <w:r>
        <w:rPr>
          <w:b/>
          <w:bCs/>
          <w:sz w:val="26"/>
          <w:szCs w:val="24"/>
        </w:rPr>
        <w:t xml:space="preserve">Contractor Property Receiver </w:t>
      </w:r>
      <w:r>
        <w:rPr>
          <w:bCs/>
          <w:sz w:val="26"/>
          <w:szCs w:val="24"/>
        </w:rPr>
        <w:t>established in order to receive notifications and access the folder to acknowledge receipt of the GFP.</w:t>
      </w:r>
    </w:p>
    <w:p w:rsidR="00A14B59" w:rsidRDefault="00A14B59" w:rsidP="00B42C92">
      <w:pPr>
        <w:spacing w:before="0"/>
        <w:rPr>
          <w:bCs/>
          <w:sz w:val="26"/>
          <w:szCs w:val="24"/>
        </w:rPr>
      </w:pPr>
    </w:p>
    <w:p w:rsidR="00F53A83" w:rsidRDefault="00A14B59" w:rsidP="00B42C92">
      <w:pPr>
        <w:spacing w:before="0"/>
        <w:rPr>
          <w:bCs/>
          <w:sz w:val="26"/>
          <w:szCs w:val="24"/>
        </w:rPr>
      </w:pPr>
      <w:r>
        <w:rPr>
          <w:bCs/>
          <w:sz w:val="26"/>
          <w:szCs w:val="24"/>
        </w:rPr>
        <w:t>When items are ready to be shipped to the contractor, the MCA will coordinate with the shipping personnel to request shipment and be advised when items have been shipped. Concurrently, the MCA (or delegate) will provide the GFP transfer data to WAWF either via the manual web interface or electronically from an automated s</w:t>
      </w:r>
      <w:r w:rsidR="0078593E">
        <w:rPr>
          <w:bCs/>
          <w:sz w:val="26"/>
          <w:szCs w:val="24"/>
        </w:rPr>
        <w:t>ystem as illustrated in Figure 4</w:t>
      </w:r>
      <w:r>
        <w:rPr>
          <w:bCs/>
          <w:sz w:val="26"/>
          <w:szCs w:val="24"/>
        </w:rPr>
        <w:t>.</w:t>
      </w:r>
      <w:r w:rsidR="00CF25EA">
        <w:rPr>
          <w:bCs/>
          <w:sz w:val="26"/>
          <w:szCs w:val="24"/>
        </w:rPr>
        <w:t xml:space="preserve"> </w:t>
      </w:r>
    </w:p>
    <w:p w:rsidR="00F53A83" w:rsidRDefault="00F53A83" w:rsidP="00B42C92">
      <w:pPr>
        <w:spacing w:before="0"/>
        <w:rPr>
          <w:bCs/>
          <w:sz w:val="26"/>
          <w:szCs w:val="24"/>
        </w:rPr>
      </w:pPr>
    </w:p>
    <w:p w:rsidR="00F53A83" w:rsidRPr="00B67B9C" w:rsidRDefault="00CF25EA" w:rsidP="00B67B9C">
      <w:pPr>
        <w:spacing w:before="0"/>
        <w:rPr>
          <w:b/>
          <w:bCs/>
          <w:sz w:val="26"/>
          <w:szCs w:val="24"/>
        </w:rPr>
      </w:pPr>
      <w:r w:rsidRPr="00B67B9C">
        <w:rPr>
          <w:b/>
          <w:bCs/>
          <w:sz w:val="26"/>
          <w:szCs w:val="24"/>
          <w:u w:val="single"/>
        </w:rPr>
        <w:t>Note</w:t>
      </w:r>
      <w:r w:rsidR="00F53A83" w:rsidRPr="00B67B9C">
        <w:rPr>
          <w:b/>
          <w:bCs/>
          <w:sz w:val="26"/>
          <w:szCs w:val="24"/>
          <w:u w:val="single"/>
        </w:rPr>
        <w:t xml:space="preserve">: </w:t>
      </w:r>
      <w:r w:rsidR="00F53A83" w:rsidRPr="00B67B9C">
        <w:rPr>
          <w:b/>
          <w:bCs/>
          <w:sz w:val="26"/>
          <w:szCs w:val="24"/>
        </w:rPr>
        <w:t xml:space="preserve">Both </w:t>
      </w:r>
      <w:proofErr w:type="spellStart"/>
      <w:r w:rsidR="00F53A83" w:rsidRPr="00B67B9C">
        <w:rPr>
          <w:b/>
          <w:bCs/>
          <w:sz w:val="26"/>
          <w:szCs w:val="24"/>
        </w:rPr>
        <w:t>UI</w:t>
      </w:r>
      <w:r w:rsidRPr="00B67B9C">
        <w:rPr>
          <w:b/>
          <w:bCs/>
          <w:sz w:val="26"/>
          <w:szCs w:val="24"/>
        </w:rPr>
        <w:t>I’d</w:t>
      </w:r>
      <w:proofErr w:type="spellEnd"/>
      <w:r w:rsidR="00F53A83" w:rsidRPr="00B67B9C">
        <w:rPr>
          <w:b/>
          <w:bCs/>
          <w:sz w:val="26"/>
          <w:szCs w:val="24"/>
        </w:rPr>
        <w:t xml:space="preserve"> items and/or </w:t>
      </w:r>
      <w:proofErr w:type="spellStart"/>
      <w:r w:rsidR="00F53A83" w:rsidRPr="00B67B9C">
        <w:rPr>
          <w:b/>
          <w:bCs/>
          <w:sz w:val="26"/>
          <w:szCs w:val="24"/>
        </w:rPr>
        <w:t>nonUII’d</w:t>
      </w:r>
      <w:proofErr w:type="spellEnd"/>
      <w:r w:rsidR="00F53A83" w:rsidRPr="00B67B9C">
        <w:rPr>
          <w:b/>
          <w:bCs/>
          <w:sz w:val="26"/>
          <w:szCs w:val="24"/>
        </w:rPr>
        <w:t xml:space="preserve"> items may be transferred as GFP via WAWF</w:t>
      </w:r>
    </w:p>
    <w:p w:rsidR="00A14B59" w:rsidRPr="00B67B9C" w:rsidRDefault="00F53A83" w:rsidP="00B67B9C">
      <w:pPr>
        <w:spacing w:before="0"/>
        <w:rPr>
          <w:b/>
          <w:bCs/>
          <w:sz w:val="26"/>
          <w:szCs w:val="24"/>
        </w:rPr>
      </w:pPr>
      <w:r w:rsidRPr="00B67B9C">
        <w:rPr>
          <w:b/>
          <w:bCs/>
          <w:sz w:val="26"/>
          <w:szCs w:val="24"/>
          <w:u w:val="single"/>
        </w:rPr>
        <w:t xml:space="preserve">Note: </w:t>
      </w:r>
      <w:proofErr w:type="spellStart"/>
      <w:r w:rsidR="000B587D" w:rsidRPr="00B67B9C">
        <w:rPr>
          <w:b/>
          <w:bCs/>
          <w:sz w:val="26"/>
          <w:szCs w:val="24"/>
        </w:rPr>
        <w:t>UII’d</w:t>
      </w:r>
      <w:proofErr w:type="spellEnd"/>
      <w:r w:rsidR="000B587D" w:rsidRPr="00B67B9C">
        <w:rPr>
          <w:b/>
          <w:bCs/>
          <w:sz w:val="26"/>
          <w:szCs w:val="24"/>
        </w:rPr>
        <w:t xml:space="preserve"> items must be present in the IUID Registry.</w:t>
      </w:r>
    </w:p>
    <w:p w:rsidR="00F53A83" w:rsidRPr="00B67B9C" w:rsidRDefault="00F53A83" w:rsidP="00B67B9C">
      <w:pPr>
        <w:spacing w:before="0"/>
        <w:rPr>
          <w:b/>
          <w:bCs/>
          <w:sz w:val="26"/>
          <w:szCs w:val="24"/>
        </w:rPr>
      </w:pPr>
      <w:r w:rsidRPr="00B67B9C">
        <w:rPr>
          <w:b/>
          <w:bCs/>
          <w:sz w:val="26"/>
          <w:szCs w:val="24"/>
          <w:u w:val="single"/>
        </w:rPr>
        <w:t>Note:</w:t>
      </w:r>
      <w:r w:rsidRPr="00B67B9C">
        <w:rPr>
          <w:b/>
          <w:bCs/>
          <w:sz w:val="26"/>
          <w:szCs w:val="24"/>
        </w:rPr>
        <w:t xml:space="preserve"> UID Relevant items should be marked and registered by </w:t>
      </w:r>
      <w:proofErr w:type="gramStart"/>
      <w:r w:rsidRPr="00B67B9C">
        <w:rPr>
          <w:b/>
          <w:bCs/>
          <w:sz w:val="26"/>
          <w:szCs w:val="24"/>
        </w:rPr>
        <w:t>DoD</w:t>
      </w:r>
      <w:proofErr w:type="gramEnd"/>
      <w:r w:rsidRPr="00B67B9C">
        <w:rPr>
          <w:b/>
          <w:bCs/>
          <w:sz w:val="26"/>
          <w:szCs w:val="24"/>
        </w:rPr>
        <w:t xml:space="preserve"> before being transferred to a contractor as GFP.</w:t>
      </w:r>
      <w:r w:rsidR="00D30E28">
        <w:rPr>
          <w:b/>
          <w:bCs/>
          <w:sz w:val="26"/>
          <w:szCs w:val="24"/>
        </w:rPr>
        <w:t xml:space="preserve"> If that is not possible, </w:t>
      </w:r>
      <w:proofErr w:type="gramStart"/>
      <w:r w:rsidR="00D30E28">
        <w:rPr>
          <w:b/>
          <w:bCs/>
          <w:sz w:val="26"/>
          <w:szCs w:val="24"/>
        </w:rPr>
        <w:t>DoD</w:t>
      </w:r>
      <w:proofErr w:type="gramEnd"/>
      <w:r w:rsidR="00D30E28">
        <w:rPr>
          <w:b/>
          <w:bCs/>
          <w:sz w:val="26"/>
          <w:szCs w:val="24"/>
        </w:rPr>
        <w:t xml:space="preserve"> can use DFARs 252.245-7001 to require the contractor to mark GFP provided to him.</w:t>
      </w:r>
    </w:p>
    <w:p w:rsidR="0013424E" w:rsidRDefault="0013424E" w:rsidP="00B42C92">
      <w:pPr>
        <w:spacing w:before="0"/>
        <w:rPr>
          <w:bCs/>
          <w:sz w:val="26"/>
          <w:szCs w:val="24"/>
        </w:rPr>
      </w:pPr>
    </w:p>
    <w:p w:rsidR="0013424E" w:rsidRDefault="0013424E" w:rsidP="00B42C92">
      <w:pPr>
        <w:spacing w:before="0"/>
        <w:rPr>
          <w:bCs/>
          <w:sz w:val="26"/>
          <w:szCs w:val="24"/>
        </w:rPr>
      </w:pPr>
      <w:r>
        <w:rPr>
          <w:bCs/>
          <w:sz w:val="26"/>
          <w:szCs w:val="24"/>
        </w:rPr>
        <w:t xml:space="preserve">The Contractor Receiver will receive email notification that the items are </w:t>
      </w:r>
      <w:proofErr w:type="spellStart"/>
      <w:r>
        <w:rPr>
          <w:bCs/>
          <w:sz w:val="26"/>
          <w:szCs w:val="24"/>
        </w:rPr>
        <w:t>enroute</w:t>
      </w:r>
      <w:proofErr w:type="spellEnd"/>
      <w:r>
        <w:rPr>
          <w:bCs/>
          <w:sz w:val="26"/>
          <w:szCs w:val="24"/>
        </w:rPr>
        <w:t xml:space="preserve">. </w:t>
      </w:r>
    </w:p>
    <w:p w:rsidR="00A14B59" w:rsidRDefault="00A14B59" w:rsidP="00B67B9C">
      <w:pPr>
        <w:spacing w:before="0"/>
        <w:jc w:val="both"/>
        <w:rPr>
          <w:bCs/>
          <w:sz w:val="26"/>
          <w:szCs w:val="24"/>
        </w:rPr>
      </w:pPr>
    </w:p>
    <w:p w:rsidR="00CF25EA" w:rsidRDefault="00CF25EA" w:rsidP="00CF25EA">
      <w:pPr>
        <w:keepNext/>
        <w:spacing w:before="0"/>
      </w:pPr>
      <w:r>
        <w:rPr>
          <w:bCs/>
          <w:noProof/>
          <w:sz w:val="26"/>
          <w:szCs w:val="24"/>
        </w:rPr>
        <w:drawing>
          <wp:inline distT="0" distB="0" distL="0" distR="0">
            <wp:extent cx="4676775" cy="3047786"/>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676775" cy="3047786"/>
                    </a:xfrm>
                    <a:prstGeom prst="rect">
                      <a:avLst/>
                    </a:prstGeom>
                    <a:noFill/>
                    <a:ln w="9525">
                      <a:noFill/>
                      <a:miter lim="800000"/>
                      <a:headEnd/>
                      <a:tailEnd/>
                    </a:ln>
                  </pic:spPr>
                </pic:pic>
              </a:graphicData>
            </a:graphic>
          </wp:inline>
        </w:drawing>
      </w:r>
    </w:p>
    <w:p w:rsidR="00A14B59" w:rsidRPr="00A14B59" w:rsidRDefault="00CF25EA" w:rsidP="00CF25EA">
      <w:pPr>
        <w:pStyle w:val="Caption"/>
        <w:rPr>
          <w:bCs w:val="0"/>
          <w:sz w:val="26"/>
          <w:szCs w:val="24"/>
        </w:rPr>
      </w:pPr>
      <w:bookmarkStart w:id="26" w:name="_Toc327516066"/>
      <w:proofErr w:type="gramStart"/>
      <w:r>
        <w:t xml:space="preserve">Figure </w:t>
      </w:r>
      <w:r w:rsidR="00B65468">
        <w:fldChar w:fldCharType="begin"/>
      </w:r>
      <w:r>
        <w:instrText xml:space="preserve"> SEQ Figure \* ARABIC </w:instrText>
      </w:r>
      <w:r w:rsidR="00B65468">
        <w:fldChar w:fldCharType="separate"/>
      </w:r>
      <w:r w:rsidR="00FF3108">
        <w:rPr>
          <w:noProof/>
        </w:rPr>
        <w:t>4</w:t>
      </w:r>
      <w:r w:rsidR="00B65468">
        <w:fldChar w:fldCharType="end"/>
      </w:r>
      <w:r>
        <w:t>.</w:t>
      </w:r>
      <w:proofErr w:type="gramEnd"/>
      <w:r>
        <w:t xml:space="preserve"> WAWF Government to Vendor GFP Flow</w:t>
      </w:r>
      <w:bookmarkEnd w:id="26"/>
    </w:p>
    <w:p w:rsidR="000D4047" w:rsidRDefault="000D4047" w:rsidP="00B42C92">
      <w:pPr>
        <w:spacing w:before="0"/>
        <w:rPr>
          <w:bCs/>
          <w:sz w:val="26"/>
          <w:szCs w:val="24"/>
        </w:rPr>
      </w:pPr>
    </w:p>
    <w:p w:rsidR="000D4047" w:rsidRDefault="0013424E" w:rsidP="00B42C92">
      <w:pPr>
        <w:spacing w:before="0"/>
        <w:rPr>
          <w:bCs/>
          <w:sz w:val="26"/>
          <w:szCs w:val="24"/>
        </w:rPr>
      </w:pPr>
      <w:r>
        <w:rPr>
          <w:bCs/>
          <w:sz w:val="26"/>
          <w:szCs w:val="24"/>
        </w:rPr>
        <w:t>When the items arrive</w:t>
      </w:r>
      <w:r w:rsidR="00D30E28">
        <w:rPr>
          <w:bCs/>
          <w:sz w:val="26"/>
          <w:szCs w:val="24"/>
        </w:rPr>
        <w:t xml:space="preserve"> they</w:t>
      </w:r>
      <w:r>
        <w:rPr>
          <w:bCs/>
          <w:sz w:val="26"/>
          <w:szCs w:val="24"/>
        </w:rPr>
        <w:t xml:space="preserve"> are inspected by</w:t>
      </w:r>
      <w:r w:rsidR="00CF25EA">
        <w:rPr>
          <w:bCs/>
          <w:sz w:val="26"/>
          <w:szCs w:val="24"/>
        </w:rPr>
        <w:t xml:space="preserve"> </w:t>
      </w:r>
      <w:r w:rsidR="00D30E28">
        <w:rPr>
          <w:bCs/>
          <w:sz w:val="26"/>
          <w:szCs w:val="24"/>
        </w:rPr>
        <w:t>the contractor’s quality or receiving department. T</w:t>
      </w:r>
      <w:r w:rsidR="00CF25EA">
        <w:rPr>
          <w:bCs/>
          <w:sz w:val="26"/>
          <w:szCs w:val="24"/>
        </w:rPr>
        <w:t xml:space="preserve">he contractor </w:t>
      </w:r>
      <w:r w:rsidR="00D30E28">
        <w:rPr>
          <w:bCs/>
          <w:sz w:val="26"/>
          <w:szCs w:val="24"/>
        </w:rPr>
        <w:t xml:space="preserve">then </w:t>
      </w:r>
      <w:r w:rsidR="00CF25EA">
        <w:rPr>
          <w:bCs/>
          <w:sz w:val="26"/>
          <w:szCs w:val="24"/>
        </w:rPr>
        <w:t xml:space="preserve">acknowledges receipt of the GFP in WAWF.  The contractor may either log on to the work folder on WAWF web site to acknowledge the receipt or the contractor’s information system can send a properly formatted </w:t>
      </w:r>
      <w:r w:rsidR="000B587D">
        <w:rPr>
          <w:bCs/>
          <w:sz w:val="26"/>
          <w:szCs w:val="24"/>
        </w:rPr>
        <w:t xml:space="preserve">electronic </w:t>
      </w:r>
      <w:r w:rsidR="00CF25EA">
        <w:rPr>
          <w:bCs/>
          <w:sz w:val="26"/>
          <w:szCs w:val="24"/>
        </w:rPr>
        <w:t>message to acknowledge the receipt.</w:t>
      </w:r>
      <w:r w:rsidR="000B587D">
        <w:rPr>
          <w:bCs/>
          <w:sz w:val="26"/>
          <w:szCs w:val="24"/>
        </w:rPr>
        <w:t xml:space="preserve"> </w:t>
      </w:r>
      <w:proofErr w:type="gramStart"/>
      <w:r w:rsidR="00310A80">
        <w:rPr>
          <w:bCs/>
          <w:sz w:val="26"/>
          <w:szCs w:val="24"/>
        </w:rPr>
        <w:t>Instructions to access the WAWF electronic message structure definitions is</w:t>
      </w:r>
      <w:proofErr w:type="gramEnd"/>
      <w:r w:rsidR="00310A80">
        <w:rPr>
          <w:bCs/>
          <w:sz w:val="26"/>
          <w:szCs w:val="24"/>
        </w:rPr>
        <w:t xml:space="preserve"> included in Appendix C. </w:t>
      </w:r>
      <w:r w:rsidR="000B587D">
        <w:rPr>
          <w:bCs/>
          <w:sz w:val="26"/>
          <w:szCs w:val="24"/>
        </w:rPr>
        <w:t>The government sender will receive an email that indicates that the item has been received by the contractor. If the GFP provided is unacceptable, this can also be indicated through the WAWF interface.</w:t>
      </w:r>
    </w:p>
    <w:p w:rsidR="000B587D" w:rsidRDefault="000B587D" w:rsidP="00B42C92">
      <w:pPr>
        <w:spacing w:before="0"/>
        <w:rPr>
          <w:bCs/>
          <w:sz w:val="26"/>
          <w:szCs w:val="24"/>
        </w:rPr>
      </w:pPr>
    </w:p>
    <w:p w:rsidR="000B587D" w:rsidRDefault="000B587D" w:rsidP="00B42C92">
      <w:pPr>
        <w:spacing w:before="0"/>
        <w:rPr>
          <w:bCs/>
          <w:sz w:val="26"/>
          <w:szCs w:val="24"/>
        </w:rPr>
      </w:pPr>
      <w:r>
        <w:rPr>
          <w:bCs/>
          <w:sz w:val="26"/>
          <w:szCs w:val="24"/>
        </w:rPr>
        <w:t xml:space="preserve">The receipt acknowledgement automatically triggers a message to the identified property system (potentially to both the government and contractor property system) and to the IUID Registry to update the custody record of the </w:t>
      </w:r>
      <w:r w:rsidR="0078593E">
        <w:rPr>
          <w:bCs/>
          <w:sz w:val="26"/>
          <w:szCs w:val="24"/>
        </w:rPr>
        <w:t>items as illustrated in Figure 5</w:t>
      </w:r>
      <w:r>
        <w:rPr>
          <w:bCs/>
          <w:sz w:val="26"/>
          <w:szCs w:val="24"/>
        </w:rPr>
        <w:t xml:space="preserve">. </w:t>
      </w:r>
    </w:p>
    <w:p w:rsidR="000B587D" w:rsidRDefault="000B587D" w:rsidP="00B42C92">
      <w:pPr>
        <w:spacing w:before="0"/>
        <w:rPr>
          <w:bCs/>
          <w:sz w:val="26"/>
          <w:szCs w:val="24"/>
        </w:rPr>
      </w:pPr>
    </w:p>
    <w:p w:rsidR="00DC6C1F" w:rsidRDefault="00DC6C1F" w:rsidP="00DC6C1F">
      <w:pPr>
        <w:keepNext/>
        <w:spacing w:before="0"/>
      </w:pPr>
      <w:r>
        <w:rPr>
          <w:bCs/>
          <w:noProof/>
          <w:sz w:val="26"/>
          <w:szCs w:val="24"/>
        </w:rPr>
        <w:drawing>
          <wp:inline distT="0" distB="0" distL="0" distR="0">
            <wp:extent cx="4533900" cy="3044398"/>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4537449" cy="3046781"/>
                    </a:xfrm>
                    <a:prstGeom prst="rect">
                      <a:avLst/>
                    </a:prstGeom>
                    <a:noFill/>
                    <a:ln w="9525">
                      <a:noFill/>
                      <a:miter lim="800000"/>
                      <a:headEnd/>
                      <a:tailEnd/>
                    </a:ln>
                  </pic:spPr>
                </pic:pic>
              </a:graphicData>
            </a:graphic>
          </wp:inline>
        </w:drawing>
      </w:r>
    </w:p>
    <w:p w:rsidR="000B587D" w:rsidRDefault="00DC6C1F" w:rsidP="00DC6C1F">
      <w:pPr>
        <w:pStyle w:val="Caption"/>
        <w:rPr>
          <w:bCs w:val="0"/>
          <w:sz w:val="26"/>
          <w:szCs w:val="24"/>
        </w:rPr>
      </w:pPr>
      <w:bookmarkStart w:id="27" w:name="_Toc327516067"/>
      <w:r>
        <w:t xml:space="preserve">Figure </w:t>
      </w:r>
      <w:r w:rsidR="00DE56EA">
        <w:fldChar w:fldCharType="begin"/>
      </w:r>
      <w:r w:rsidR="00DE56EA">
        <w:instrText xml:space="preserve"> SEQ Figure \* ARABIC </w:instrText>
      </w:r>
      <w:r w:rsidR="00DE56EA">
        <w:fldChar w:fldCharType="separate"/>
      </w:r>
      <w:r w:rsidR="00FF3108">
        <w:rPr>
          <w:noProof/>
        </w:rPr>
        <w:t>5</w:t>
      </w:r>
      <w:r w:rsidR="00DE56EA">
        <w:rPr>
          <w:noProof/>
        </w:rPr>
        <w:fldChar w:fldCharType="end"/>
      </w:r>
      <w:r>
        <w:t xml:space="preserve"> WAWF Contractor Receipt Acknowledgement Flow</w:t>
      </w:r>
      <w:bookmarkEnd w:id="27"/>
    </w:p>
    <w:p w:rsidR="000D4047" w:rsidRDefault="00F5337B" w:rsidP="00B42C92">
      <w:pPr>
        <w:spacing w:before="0"/>
        <w:rPr>
          <w:bCs/>
          <w:sz w:val="26"/>
          <w:szCs w:val="24"/>
        </w:rPr>
      </w:pPr>
      <w:r>
        <w:rPr>
          <w:bCs/>
          <w:sz w:val="26"/>
          <w:szCs w:val="24"/>
        </w:rPr>
        <w:t xml:space="preserve">Once custody </w:t>
      </w:r>
      <w:r w:rsidR="00AA7D9C">
        <w:rPr>
          <w:bCs/>
          <w:sz w:val="26"/>
          <w:szCs w:val="24"/>
        </w:rPr>
        <w:t>is updated in the IUID Registry, the contract</w:t>
      </w:r>
      <w:r w:rsidR="00D30E28">
        <w:rPr>
          <w:bCs/>
          <w:sz w:val="26"/>
          <w:szCs w:val="24"/>
        </w:rPr>
        <w:t>or</w:t>
      </w:r>
      <w:r w:rsidR="00AA7D9C">
        <w:rPr>
          <w:bCs/>
          <w:sz w:val="26"/>
          <w:szCs w:val="24"/>
        </w:rPr>
        <w:t xml:space="preserve"> can view and update the IUID Registry item record.</w:t>
      </w:r>
    </w:p>
    <w:p w:rsidR="00AA7D9C" w:rsidRDefault="00AA7D9C" w:rsidP="00F5337B">
      <w:pPr>
        <w:pStyle w:val="Heading3"/>
        <w:rPr>
          <w:b w:val="0"/>
          <w:bCs/>
          <w:sz w:val="26"/>
          <w:szCs w:val="24"/>
        </w:rPr>
      </w:pPr>
    </w:p>
    <w:p w:rsidR="00F5337B" w:rsidRDefault="00F5337B" w:rsidP="00F5337B">
      <w:pPr>
        <w:pStyle w:val="Heading3"/>
        <w:rPr>
          <w:b w:val="0"/>
          <w:bCs/>
          <w:sz w:val="26"/>
          <w:szCs w:val="24"/>
        </w:rPr>
      </w:pPr>
      <w:bookmarkStart w:id="28" w:name="_Toc327516049"/>
      <w:r>
        <w:rPr>
          <w:b w:val="0"/>
          <w:bCs/>
          <w:sz w:val="26"/>
          <w:szCs w:val="24"/>
        </w:rPr>
        <w:t>3.4.2</w:t>
      </w:r>
      <w:r w:rsidRPr="00E1332E">
        <w:rPr>
          <w:b w:val="0"/>
          <w:bCs/>
          <w:sz w:val="26"/>
          <w:szCs w:val="24"/>
        </w:rPr>
        <w:t xml:space="preserve"> </w:t>
      </w:r>
      <w:r>
        <w:rPr>
          <w:b w:val="0"/>
          <w:bCs/>
          <w:sz w:val="26"/>
          <w:szCs w:val="24"/>
        </w:rPr>
        <w:t xml:space="preserve">Unilateral Receipt of </w:t>
      </w:r>
      <w:r w:rsidRPr="00E1332E">
        <w:rPr>
          <w:b w:val="0"/>
          <w:bCs/>
          <w:sz w:val="26"/>
          <w:szCs w:val="24"/>
        </w:rPr>
        <w:t xml:space="preserve">GFP </w:t>
      </w:r>
      <w:r>
        <w:rPr>
          <w:b w:val="0"/>
          <w:bCs/>
          <w:sz w:val="26"/>
          <w:szCs w:val="24"/>
        </w:rPr>
        <w:t>v</w:t>
      </w:r>
      <w:r w:rsidRPr="00E1332E">
        <w:rPr>
          <w:b w:val="0"/>
          <w:bCs/>
          <w:sz w:val="26"/>
          <w:szCs w:val="24"/>
        </w:rPr>
        <w:t>ia WAWF</w:t>
      </w:r>
      <w:r w:rsidR="00B67B9C">
        <w:rPr>
          <w:b w:val="0"/>
          <w:bCs/>
          <w:sz w:val="26"/>
          <w:szCs w:val="24"/>
        </w:rPr>
        <w:t xml:space="preserve"> by a Contractor</w:t>
      </w:r>
      <w:bookmarkEnd w:id="28"/>
    </w:p>
    <w:p w:rsidR="000D4047" w:rsidRDefault="000D4047" w:rsidP="00B42C92">
      <w:pPr>
        <w:spacing w:before="0"/>
        <w:rPr>
          <w:bCs/>
          <w:sz w:val="26"/>
          <w:szCs w:val="24"/>
        </w:rPr>
      </w:pPr>
    </w:p>
    <w:p w:rsidR="00B67B9C" w:rsidRDefault="00F5337B" w:rsidP="00B42C92">
      <w:pPr>
        <w:spacing w:before="0"/>
        <w:rPr>
          <w:bCs/>
          <w:sz w:val="26"/>
          <w:szCs w:val="24"/>
        </w:rPr>
      </w:pPr>
      <w:r>
        <w:rPr>
          <w:bCs/>
          <w:sz w:val="26"/>
          <w:szCs w:val="24"/>
        </w:rPr>
        <w:t xml:space="preserve">If a contractor receives GFP without government notification, </w:t>
      </w:r>
      <w:r w:rsidR="00D30E28">
        <w:rPr>
          <w:bCs/>
          <w:sz w:val="26"/>
          <w:szCs w:val="24"/>
        </w:rPr>
        <w:t xml:space="preserve">he can take </w:t>
      </w:r>
      <w:r>
        <w:rPr>
          <w:bCs/>
          <w:sz w:val="26"/>
          <w:szCs w:val="24"/>
        </w:rPr>
        <w:t xml:space="preserve">independent action to </w:t>
      </w:r>
      <w:r w:rsidR="00F53A83">
        <w:rPr>
          <w:bCs/>
          <w:sz w:val="26"/>
          <w:szCs w:val="24"/>
        </w:rPr>
        <w:t>acknowledge</w:t>
      </w:r>
      <w:r w:rsidR="00D30E28">
        <w:rPr>
          <w:bCs/>
          <w:sz w:val="26"/>
          <w:szCs w:val="24"/>
        </w:rPr>
        <w:t xml:space="preserve"> contractor</w:t>
      </w:r>
      <w:r w:rsidR="00F53A83">
        <w:rPr>
          <w:bCs/>
          <w:sz w:val="26"/>
          <w:szCs w:val="24"/>
        </w:rPr>
        <w:t xml:space="preserve"> custody of </w:t>
      </w:r>
      <w:r w:rsidR="00D30E28">
        <w:rPr>
          <w:bCs/>
          <w:sz w:val="26"/>
          <w:szCs w:val="24"/>
        </w:rPr>
        <w:t xml:space="preserve">the </w:t>
      </w:r>
      <w:r w:rsidR="00F53A83">
        <w:rPr>
          <w:bCs/>
          <w:sz w:val="26"/>
          <w:szCs w:val="24"/>
        </w:rPr>
        <w:t>GFP items. Although this is not the preferred</w:t>
      </w:r>
      <w:r w:rsidR="00B67B9C">
        <w:rPr>
          <w:bCs/>
          <w:sz w:val="26"/>
          <w:szCs w:val="24"/>
        </w:rPr>
        <w:t xml:space="preserve"> approach, during the transition from paper to electronic methods of custody transfer it is </w:t>
      </w:r>
      <w:r w:rsidR="00BC4A98">
        <w:rPr>
          <w:bCs/>
          <w:sz w:val="26"/>
          <w:szCs w:val="24"/>
        </w:rPr>
        <w:t>likely to occur</w:t>
      </w:r>
      <w:r w:rsidR="00B67B9C">
        <w:rPr>
          <w:bCs/>
          <w:sz w:val="26"/>
          <w:szCs w:val="24"/>
        </w:rPr>
        <w:t>.</w:t>
      </w:r>
    </w:p>
    <w:p w:rsidR="00B67B9C" w:rsidRDefault="00B67B9C" w:rsidP="00B42C92">
      <w:pPr>
        <w:spacing w:before="0"/>
        <w:rPr>
          <w:bCs/>
          <w:sz w:val="26"/>
          <w:szCs w:val="24"/>
        </w:rPr>
      </w:pPr>
    </w:p>
    <w:p w:rsidR="00B67B9C" w:rsidRDefault="00B67B9C" w:rsidP="00B42C92">
      <w:pPr>
        <w:spacing w:before="0"/>
        <w:rPr>
          <w:bCs/>
          <w:sz w:val="26"/>
          <w:szCs w:val="24"/>
        </w:rPr>
      </w:pPr>
      <w:r>
        <w:rPr>
          <w:bCs/>
          <w:sz w:val="26"/>
          <w:szCs w:val="24"/>
        </w:rPr>
        <w:t xml:space="preserve"> To acknowledge custody of </w:t>
      </w:r>
      <w:proofErr w:type="spellStart"/>
      <w:r>
        <w:rPr>
          <w:bCs/>
          <w:sz w:val="26"/>
          <w:szCs w:val="24"/>
        </w:rPr>
        <w:t>UII’d</w:t>
      </w:r>
      <w:proofErr w:type="spellEnd"/>
      <w:r>
        <w:rPr>
          <w:bCs/>
          <w:sz w:val="26"/>
          <w:szCs w:val="24"/>
        </w:rPr>
        <w:t xml:space="preserve"> or </w:t>
      </w:r>
      <w:proofErr w:type="spellStart"/>
      <w:r>
        <w:rPr>
          <w:bCs/>
          <w:sz w:val="26"/>
          <w:szCs w:val="24"/>
        </w:rPr>
        <w:t>nonUII’d</w:t>
      </w:r>
      <w:proofErr w:type="spellEnd"/>
      <w:r>
        <w:rPr>
          <w:bCs/>
          <w:sz w:val="26"/>
          <w:szCs w:val="24"/>
        </w:rPr>
        <w:t xml:space="preserve"> GFP when there has been no electronic communication from the government, the Contractor can enter the contract and item data into WAWF either manually via the web site or through a properly formatted electronic message.</w:t>
      </w:r>
      <w:r w:rsidR="00D64587">
        <w:rPr>
          <w:bCs/>
          <w:sz w:val="26"/>
          <w:szCs w:val="24"/>
        </w:rPr>
        <w:t xml:space="preserve">  </w:t>
      </w:r>
      <w:r w:rsidR="00200FEE">
        <w:rPr>
          <w:bCs/>
          <w:sz w:val="26"/>
          <w:szCs w:val="24"/>
        </w:rPr>
        <w:t xml:space="preserve">The Contractor enters the contract data and item data and acknowledges custody. According to Figure </w:t>
      </w:r>
      <w:r w:rsidR="0078593E">
        <w:rPr>
          <w:bCs/>
          <w:sz w:val="26"/>
          <w:szCs w:val="24"/>
        </w:rPr>
        <w:t>6</w:t>
      </w:r>
      <w:r w:rsidR="00200FEE">
        <w:rPr>
          <w:bCs/>
          <w:sz w:val="26"/>
          <w:szCs w:val="24"/>
        </w:rPr>
        <w:t xml:space="preserve">, the data is then provided to </w:t>
      </w:r>
      <w:proofErr w:type="gramStart"/>
      <w:r w:rsidR="00200FEE">
        <w:rPr>
          <w:bCs/>
          <w:sz w:val="26"/>
          <w:szCs w:val="24"/>
        </w:rPr>
        <w:t>DoD</w:t>
      </w:r>
      <w:proofErr w:type="gramEnd"/>
      <w:r w:rsidR="00200FEE">
        <w:rPr>
          <w:bCs/>
          <w:sz w:val="26"/>
          <w:szCs w:val="24"/>
        </w:rPr>
        <w:t xml:space="preserve">, the property system if one is identified within WAWF, and the IUID Registry (for both </w:t>
      </w:r>
      <w:proofErr w:type="spellStart"/>
      <w:r w:rsidR="00200FEE">
        <w:rPr>
          <w:bCs/>
          <w:sz w:val="26"/>
          <w:szCs w:val="24"/>
        </w:rPr>
        <w:t>UII’d</w:t>
      </w:r>
      <w:proofErr w:type="spellEnd"/>
      <w:r w:rsidR="00200FEE">
        <w:rPr>
          <w:bCs/>
          <w:sz w:val="26"/>
          <w:szCs w:val="24"/>
        </w:rPr>
        <w:t xml:space="preserve"> and </w:t>
      </w:r>
      <w:proofErr w:type="spellStart"/>
      <w:r w:rsidR="00200FEE">
        <w:rPr>
          <w:bCs/>
          <w:sz w:val="26"/>
          <w:szCs w:val="24"/>
        </w:rPr>
        <w:t>nonUII’d</w:t>
      </w:r>
      <w:proofErr w:type="spellEnd"/>
      <w:r w:rsidR="00200FEE">
        <w:rPr>
          <w:bCs/>
          <w:sz w:val="26"/>
          <w:szCs w:val="24"/>
        </w:rPr>
        <w:t xml:space="preserve"> items).</w:t>
      </w:r>
    </w:p>
    <w:p w:rsidR="00200FEE" w:rsidRDefault="00200FEE" w:rsidP="00B42C92">
      <w:pPr>
        <w:spacing w:before="0"/>
        <w:rPr>
          <w:bCs/>
          <w:sz w:val="26"/>
          <w:szCs w:val="24"/>
        </w:rPr>
      </w:pPr>
    </w:p>
    <w:p w:rsidR="00BA6730" w:rsidRDefault="00BA6730" w:rsidP="00527619">
      <w:pPr>
        <w:pStyle w:val="Heading3"/>
        <w:rPr>
          <w:b w:val="0"/>
          <w:bCs/>
          <w:sz w:val="26"/>
          <w:szCs w:val="24"/>
        </w:rPr>
      </w:pPr>
      <w:bookmarkStart w:id="29" w:name="_Toc327516050"/>
      <w:r>
        <w:rPr>
          <w:b w:val="0"/>
          <w:bCs/>
          <w:sz w:val="26"/>
          <w:szCs w:val="24"/>
        </w:rPr>
        <w:t>3.4.3</w:t>
      </w:r>
      <w:r w:rsidRPr="00E1332E">
        <w:rPr>
          <w:b w:val="0"/>
          <w:bCs/>
          <w:sz w:val="26"/>
          <w:szCs w:val="24"/>
        </w:rPr>
        <w:t xml:space="preserve"> </w:t>
      </w:r>
      <w:r>
        <w:rPr>
          <w:b w:val="0"/>
          <w:bCs/>
          <w:sz w:val="26"/>
          <w:szCs w:val="24"/>
        </w:rPr>
        <w:t xml:space="preserve">GFP Items Provisioned from </w:t>
      </w:r>
      <w:proofErr w:type="gramStart"/>
      <w:r>
        <w:rPr>
          <w:b w:val="0"/>
          <w:bCs/>
          <w:sz w:val="26"/>
          <w:szCs w:val="24"/>
        </w:rPr>
        <w:t>DoD</w:t>
      </w:r>
      <w:proofErr w:type="gramEnd"/>
      <w:r>
        <w:rPr>
          <w:b w:val="0"/>
          <w:bCs/>
          <w:sz w:val="26"/>
          <w:szCs w:val="24"/>
        </w:rPr>
        <w:t xml:space="preserve"> Supply System</w:t>
      </w:r>
      <w:bookmarkEnd w:id="29"/>
    </w:p>
    <w:p w:rsidR="00BA6730" w:rsidRPr="00527619" w:rsidRDefault="00BA6730" w:rsidP="00527619">
      <w:pPr>
        <w:rPr>
          <w:bCs/>
          <w:sz w:val="26"/>
          <w:szCs w:val="24"/>
        </w:rPr>
      </w:pPr>
      <w:r w:rsidRPr="00527619">
        <w:rPr>
          <w:bCs/>
          <w:sz w:val="26"/>
          <w:szCs w:val="24"/>
        </w:rPr>
        <w:t xml:space="preserve">GFP </w:t>
      </w:r>
      <w:r w:rsidR="002D1DB0" w:rsidRPr="00527619">
        <w:rPr>
          <w:bCs/>
          <w:sz w:val="26"/>
          <w:szCs w:val="24"/>
        </w:rPr>
        <w:t xml:space="preserve">is sometimes </w:t>
      </w:r>
      <w:r w:rsidRPr="00527619">
        <w:rPr>
          <w:bCs/>
          <w:sz w:val="26"/>
          <w:szCs w:val="24"/>
        </w:rPr>
        <w:t xml:space="preserve">available from the DoD Supply System. </w:t>
      </w:r>
      <w:r w:rsidR="00BC4A98">
        <w:rPr>
          <w:bCs/>
          <w:sz w:val="26"/>
          <w:szCs w:val="24"/>
        </w:rPr>
        <w:t xml:space="preserve">If the government pays for the item it is considered GFP. </w:t>
      </w:r>
      <w:r w:rsidRPr="00527619">
        <w:rPr>
          <w:bCs/>
          <w:sz w:val="26"/>
          <w:szCs w:val="24"/>
        </w:rPr>
        <w:t xml:space="preserve">In some cases, requisitioning of the items is executed by </w:t>
      </w:r>
      <w:proofErr w:type="gramStart"/>
      <w:r w:rsidRPr="00527619">
        <w:rPr>
          <w:bCs/>
          <w:sz w:val="26"/>
          <w:szCs w:val="24"/>
        </w:rPr>
        <w:t>DoD</w:t>
      </w:r>
      <w:proofErr w:type="gramEnd"/>
      <w:r w:rsidRPr="00527619">
        <w:rPr>
          <w:bCs/>
          <w:sz w:val="26"/>
          <w:szCs w:val="24"/>
        </w:rPr>
        <w:t xml:space="preserve"> and delivered to the Contractor for use in executing the contract. In other cases, the contract authorizes the Contractor to independe</w:t>
      </w:r>
      <w:r w:rsidR="002D1DB0" w:rsidRPr="00527619">
        <w:rPr>
          <w:bCs/>
          <w:sz w:val="26"/>
          <w:szCs w:val="24"/>
        </w:rPr>
        <w:t>ntly submit requisitions for specified items and quantities</w:t>
      </w:r>
      <w:r w:rsidRPr="00527619">
        <w:rPr>
          <w:bCs/>
          <w:sz w:val="26"/>
          <w:szCs w:val="24"/>
        </w:rPr>
        <w:t>.</w:t>
      </w:r>
      <w:r w:rsidR="00BC4A98">
        <w:rPr>
          <w:bCs/>
          <w:sz w:val="26"/>
          <w:szCs w:val="24"/>
        </w:rPr>
        <w:t xml:space="preserve"> </w:t>
      </w:r>
    </w:p>
    <w:p w:rsidR="00BA6730" w:rsidRPr="00527619" w:rsidRDefault="00BA6730" w:rsidP="00527619">
      <w:pPr>
        <w:rPr>
          <w:bCs/>
          <w:sz w:val="26"/>
          <w:szCs w:val="24"/>
        </w:rPr>
      </w:pPr>
      <w:r w:rsidRPr="00527619">
        <w:rPr>
          <w:bCs/>
          <w:sz w:val="26"/>
          <w:szCs w:val="24"/>
        </w:rPr>
        <w:t xml:space="preserve">In either case, </w:t>
      </w:r>
      <w:r w:rsidR="0014438A" w:rsidRPr="00527619">
        <w:rPr>
          <w:bCs/>
          <w:sz w:val="26"/>
          <w:szCs w:val="24"/>
        </w:rPr>
        <w:t>the Contractor must acknowledge receipt of the items requisitioned from the DoD Supply System. This will be accomplished by including the Contract Number</w:t>
      </w:r>
      <w:r w:rsidR="00A00DA7" w:rsidRPr="00527619">
        <w:rPr>
          <w:bCs/>
          <w:sz w:val="26"/>
          <w:szCs w:val="24"/>
        </w:rPr>
        <w:t xml:space="preserve"> (and UII for </w:t>
      </w:r>
      <w:proofErr w:type="spellStart"/>
      <w:r w:rsidR="00A00DA7" w:rsidRPr="00527619">
        <w:rPr>
          <w:bCs/>
          <w:sz w:val="26"/>
          <w:szCs w:val="24"/>
        </w:rPr>
        <w:t>UII’d</w:t>
      </w:r>
      <w:proofErr w:type="spellEnd"/>
      <w:r w:rsidR="00A00DA7" w:rsidRPr="00527619">
        <w:rPr>
          <w:bCs/>
          <w:sz w:val="26"/>
          <w:szCs w:val="24"/>
        </w:rPr>
        <w:t xml:space="preserve"> items)</w:t>
      </w:r>
      <w:r w:rsidR="0014438A" w:rsidRPr="00527619">
        <w:rPr>
          <w:bCs/>
          <w:sz w:val="26"/>
          <w:szCs w:val="24"/>
        </w:rPr>
        <w:t xml:space="preserve"> in the DLMS 527R Receipt Acknowledgement message.</w:t>
      </w:r>
      <w:r w:rsidR="00A00DA7" w:rsidRPr="00527619">
        <w:rPr>
          <w:bCs/>
          <w:sz w:val="26"/>
          <w:szCs w:val="24"/>
        </w:rPr>
        <w:t xml:space="preserve"> The DLMS message structure is defined at </w:t>
      </w:r>
      <w:hyperlink r:id="rId20" w:history="1">
        <w:r w:rsidR="00A00DA7" w:rsidRPr="00527619">
          <w:rPr>
            <w:rStyle w:val="Hyperlink"/>
            <w:bCs/>
            <w:sz w:val="26"/>
            <w:szCs w:val="24"/>
          </w:rPr>
          <w:t>http://www2.dla.mil/j-6/dlmso/elibrary/Transformats/Supplements/4010/004010F527R5RP32_Jan0712_PDC_419.pdf</w:t>
        </w:r>
      </w:hyperlink>
      <w:r w:rsidR="00A00DA7" w:rsidRPr="00527619">
        <w:rPr>
          <w:bCs/>
          <w:sz w:val="26"/>
          <w:szCs w:val="24"/>
        </w:rPr>
        <w:t>. T</w:t>
      </w:r>
      <w:r w:rsidR="0014438A" w:rsidRPr="00527619">
        <w:rPr>
          <w:bCs/>
          <w:sz w:val="26"/>
          <w:szCs w:val="24"/>
        </w:rPr>
        <w:t xml:space="preserve">hese messages will be automatically loaded into the IUID Registry for both </w:t>
      </w:r>
      <w:proofErr w:type="spellStart"/>
      <w:r w:rsidR="0014438A" w:rsidRPr="00527619">
        <w:rPr>
          <w:bCs/>
          <w:sz w:val="26"/>
          <w:szCs w:val="24"/>
        </w:rPr>
        <w:t>UII’d</w:t>
      </w:r>
      <w:proofErr w:type="spellEnd"/>
      <w:r w:rsidR="0014438A" w:rsidRPr="00527619">
        <w:rPr>
          <w:bCs/>
          <w:sz w:val="26"/>
          <w:szCs w:val="24"/>
        </w:rPr>
        <w:t xml:space="preserve"> and </w:t>
      </w:r>
      <w:proofErr w:type="spellStart"/>
      <w:r w:rsidR="0014438A" w:rsidRPr="00527619">
        <w:rPr>
          <w:bCs/>
          <w:sz w:val="26"/>
          <w:szCs w:val="24"/>
        </w:rPr>
        <w:t>nonUII’d</w:t>
      </w:r>
      <w:proofErr w:type="spellEnd"/>
      <w:r w:rsidR="0014438A" w:rsidRPr="00527619">
        <w:rPr>
          <w:bCs/>
          <w:sz w:val="26"/>
          <w:szCs w:val="24"/>
        </w:rPr>
        <w:t xml:space="preserve"> GFP.</w:t>
      </w:r>
    </w:p>
    <w:p w:rsidR="0014438A" w:rsidRPr="00527619" w:rsidRDefault="0014438A" w:rsidP="00527619">
      <w:pPr>
        <w:rPr>
          <w:bCs/>
          <w:sz w:val="26"/>
          <w:szCs w:val="24"/>
        </w:rPr>
      </w:pPr>
      <w:r w:rsidRPr="00527619">
        <w:rPr>
          <w:bCs/>
          <w:sz w:val="26"/>
          <w:szCs w:val="24"/>
        </w:rPr>
        <w:t xml:space="preserve">Note that </w:t>
      </w:r>
      <w:r w:rsidR="00BC4A98">
        <w:rPr>
          <w:bCs/>
          <w:sz w:val="26"/>
          <w:szCs w:val="24"/>
        </w:rPr>
        <w:t>authorized requisitions from supply</w:t>
      </w:r>
      <w:r w:rsidR="000311C6">
        <w:rPr>
          <w:bCs/>
          <w:sz w:val="26"/>
          <w:szCs w:val="24"/>
        </w:rPr>
        <w:t xml:space="preserve">, </w:t>
      </w:r>
      <w:r w:rsidR="002D1DB0" w:rsidRPr="00527619">
        <w:rPr>
          <w:bCs/>
          <w:sz w:val="26"/>
          <w:szCs w:val="24"/>
        </w:rPr>
        <w:t>paid for by the Contractor</w:t>
      </w:r>
      <w:r w:rsidR="000311C6">
        <w:rPr>
          <w:bCs/>
          <w:sz w:val="26"/>
          <w:szCs w:val="24"/>
        </w:rPr>
        <w:t xml:space="preserve"> on fixed price contracts</w:t>
      </w:r>
      <w:r w:rsidR="002D1DB0" w:rsidRPr="00527619">
        <w:rPr>
          <w:bCs/>
          <w:sz w:val="26"/>
          <w:szCs w:val="24"/>
        </w:rPr>
        <w:t xml:space="preserve">, </w:t>
      </w:r>
      <w:r w:rsidR="000311C6">
        <w:rPr>
          <w:bCs/>
          <w:sz w:val="26"/>
          <w:szCs w:val="24"/>
        </w:rPr>
        <w:t>should</w:t>
      </w:r>
      <w:r w:rsidRPr="00527619">
        <w:rPr>
          <w:bCs/>
          <w:sz w:val="26"/>
          <w:szCs w:val="24"/>
        </w:rPr>
        <w:t xml:space="preserve"> not be loaded as GFP to the IUID Registry. </w:t>
      </w:r>
      <w:r w:rsidR="000311C6">
        <w:rPr>
          <w:bCs/>
          <w:sz w:val="26"/>
          <w:szCs w:val="24"/>
        </w:rPr>
        <w:t>This property is not GFP. U</w:t>
      </w:r>
      <w:r w:rsidRPr="00527619">
        <w:rPr>
          <w:bCs/>
          <w:sz w:val="26"/>
          <w:szCs w:val="24"/>
        </w:rPr>
        <w:t xml:space="preserve">se </w:t>
      </w:r>
      <w:r w:rsidR="002D1DB0" w:rsidRPr="00527619">
        <w:rPr>
          <w:bCs/>
          <w:sz w:val="26"/>
          <w:szCs w:val="24"/>
        </w:rPr>
        <w:t xml:space="preserve">of </w:t>
      </w:r>
      <w:r w:rsidRPr="00527619">
        <w:rPr>
          <w:bCs/>
          <w:sz w:val="26"/>
          <w:szCs w:val="24"/>
        </w:rPr>
        <w:t>the DoD Supply System as a source of supply</w:t>
      </w:r>
      <w:r w:rsidR="002D1DB0" w:rsidRPr="00527619">
        <w:rPr>
          <w:bCs/>
          <w:sz w:val="26"/>
          <w:szCs w:val="24"/>
        </w:rPr>
        <w:t xml:space="preserve"> regardless of funding source requires</w:t>
      </w:r>
      <w:r w:rsidRPr="00527619">
        <w:rPr>
          <w:bCs/>
          <w:sz w:val="26"/>
          <w:szCs w:val="24"/>
        </w:rPr>
        <w:t xml:space="preserve"> authorization in the contract attachment defined in PGI</w:t>
      </w:r>
      <w:r w:rsidR="002D1DB0" w:rsidRPr="00527619">
        <w:rPr>
          <w:bCs/>
          <w:sz w:val="26"/>
          <w:szCs w:val="24"/>
        </w:rPr>
        <w:t xml:space="preserve"> 245.201-71.</w:t>
      </w:r>
    </w:p>
    <w:p w:rsidR="002D1DB0" w:rsidRDefault="002D1DB0" w:rsidP="00BA6730">
      <w:pPr>
        <w:pStyle w:val="Heading3"/>
        <w:rPr>
          <w:rFonts w:ascii="Times New Roman" w:hAnsi="Times New Roman"/>
          <w:b w:val="0"/>
          <w:bCs/>
          <w:sz w:val="26"/>
          <w:szCs w:val="24"/>
        </w:rPr>
      </w:pPr>
    </w:p>
    <w:p w:rsidR="00BA6730" w:rsidRDefault="00BA6730" w:rsidP="00B42C92">
      <w:pPr>
        <w:spacing w:before="0"/>
        <w:rPr>
          <w:bCs/>
          <w:sz w:val="26"/>
          <w:szCs w:val="24"/>
        </w:rPr>
      </w:pPr>
    </w:p>
    <w:p w:rsidR="0072403A" w:rsidRDefault="0072403A" w:rsidP="0072403A">
      <w:pPr>
        <w:keepNext/>
        <w:spacing w:before="0"/>
      </w:pPr>
      <w:r>
        <w:rPr>
          <w:bCs/>
          <w:noProof/>
          <w:sz w:val="26"/>
          <w:szCs w:val="24"/>
        </w:rPr>
        <w:drawing>
          <wp:inline distT="0" distB="0" distL="0" distR="0">
            <wp:extent cx="4920199" cy="2381250"/>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4920199" cy="2381250"/>
                    </a:xfrm>
                    <a:prstGeom prst="rect">
                      <a:avLst/>
                    </a:prstGeom>
                    <a:noFill/>
                    <a:ln w="9525">
                      <a:noFill/>
                      <a:miter lim="800000"/>
                      <a:headEnd/>
                      <a:tailEnd/>
                    </a:ln>
                  </pic:spPr>
                </pic:pic>
              </a:graphicData>
            </a:graphic>
          </wp:inline>
        </w:drawing>
      </w:r>
    </w:p>
    <w:p w:rsidR="00200FEE" w:rsidRDefault="0072403A" w:rsidP="0072403A">
      <w:pPr>
        <w:pStyle w:val="Caption"/>
        <w:rPr>
          <w:bCs w:val="0"/>
          <w:sz w:val="26"/>
          <w:szCs w:val="24"/>
        </w:rPr>
      </w:pPr>
      <w:bookmarkStart w:id="30" w:name="_Toc327516068"/>
      <w:r>
        <w:t xml:space="preserve">Figure </w:t>
      </w:r>
      <w:r w:rsidR="00B65468">
        <w:fldChar w:fldCharType="begin"/>
      </w:r>
      <w:r w:rsidR="004655D6">
        <w:instrText xml:space="preserve"> SEQ Figure \* ARABIC </w:instrText>
      </w:r>
      <w:r w:rsidR="00B65468">
        <w:fldChar w:fldCharType="separate"/>
      </w:r>
      <w:proofErr w:type="gramStart"/>
      <w:r w:rsidR="00FF3108">
        <w:rPr>
          <w:noProof/>
        </w:rPr>
        <w:t>6</w:t>
      </w:r>
      <w:r w:rsidR="00B65468">
        <w:fldChar w:fldCharType="end"/>
      </w:r>
      <w:r>
        <w:t xml:space="preserve"> Contractor</w:t>
      </w:r>
      <w:proofErr w:type="gramEnd"/>
      <w:r>
        <w:t xml:space="preserve"> Unilateral GFP Receipt via WAWF</w:t>
      </w:r>
      <w:bookmarkEnd w:id="30"/>
    </w:p>
    <w:p w:rsidR="00200FEE" w:rsidRDefault="00200FEE" w:rsidP="00B42C92">
      <w:pPr>
        <w:spacing w:before="0"/>
        <w:rPr>
          <w:bCs/>
          <w:sz w:val="26"/>
          <w:szCs w:val="24"/>
        </w:rPr>
      </w:pPr>
    </w:p>
    <w:p w:rsidR="00992CC1" w:rsidRDefault="00992CC1" w:rsidP="00527619">
      <w:pPr>
        <w:pStyle w:val="Heading3"/>
        <w:rPr>
          <w:b w:val="0"/>
          <w:bCs/>
          <w:sz w:val="26"/>
          <w:szCs w:val="24"/>
        </w:rPr>
      </w:pPr>
      <w:bookmarkStart w:id="31" w:name="_Toc327516051"/>
      <w:r>
        <w:rPr>
          <w:b w:val="0"/>
          <w:bCs/>
          <w:sz w:val="26"/>
          <w:szCs w:val="24"/>
        </w:rPr>
        <w:t>3.4.</w:t>
      </w:r>
      <w:r w:rsidR="00527619">
        <w:rPr>
          <w:b w:val="0"/>
          <w:bCs/>
          <w:sz w:val="26"/>
          <w:szCs w:val="24"/>
        </w:rPr>
        <w:t>4</w:t>
      </w:r>
      <w:r w:rsidRPr="00E1332E">
        <w:rPr>
          <w:b w:val="0"/>
          <w:bCs/>
          <w:sz w:val="26"/>
          <w:szCs w:val="24"/>
        </w:rPr>
        <w:t xml:space="preserve"> </w:t>
      </w:r>
      <w:r>
        <w:rPr>
          <w:b w:val="0"/>
          <w:bCs/>
          <w:sz w:val="26"/>
          <w:szCs w:val="24"/>
        </w:rPr>
        <w:t xml:space="preserve">Unilateral Receipt of </w:t>
      </w:r>
      <w:r w:rsidRPr="00E1332E">
        <w:rPr>
          <w:b w:val="0"/>
          <w:bCs/>
          <w:sz w:val="26"/>
          <w:szCs w:val="24"/>
        </w:rPr>
        <w:t xml:space="preserve">GFP </w:t>
      </w:r>
      <w:r>
        <w:rPr>
          <w:b w:val="0"/>
          <w:bCs/>
          <w:sz w:val="26"/>
          <w:szCs w:val="24"/>
        </w:rPr>
        <w:t>via IUID Registry by a Contractor</w:t>
      </w:r>
      <w:bookmarkEnd w:id="31"/>
    </w:p>
    <w:p w:rsidR="003361BD" w:rsidRPr="00527619" w:rsidRDefault="00A01EC4" w:rsidP="00527619">
      <w:pPr>
        <w:rPr>
          <w:bCs/>
          <w:sz w:val="26"/>
          <w:szCs w:val="24"/>
        </w:rPr>
      </w:pPr>
      <w:r w:rsidRPr="00527619">
        <w:rPr>
          <w:bCs/>
          <w:sz w:val="26"/>
          <w:szCs w:val="24"/>
        </w:rPr>
        <w:t xml:space="preserve">The contractor also has the option to </w:t>
      </w:r>
      <w:r w:rsidR="0066753B" w:rsidRPr="00527619">
        <w:rPr>
          <w:bCs/>
          <w:sz w:val="26"/>
          <w:szCs w:val="24"/>
        </w:rPr>
        <w:t xml:space="preserve">enter custody of GFP directly into the IUID Registry for </w:t>
      </w:r>
      <w:proofErr w:type="spellStart"/>
      <w:r w:rsidR="0066753B" w:rsidRPr="00527619">
        <w:rPr>
          <w:bCs/>
          <w:sz w:val="26"/>
          <w:szCs w:val="24"/>
        </w:rPr>
        <w:t>IUID</w:t>
      </w:r>
      <w:r w:rsidR="000311C6">
        <w:rPr>
          <w:bCs/>
          <w:sz w:val="26"/>
          <w:szCs w:val="24"/>
        </w:rPr>
        <w:t>’d</w:t>
      </w:r>
      <w:proofErr w:type="spellEnd"/>
      <w:r w:rsidR="0066753B" w:rsidRPr="00527619">
        <w:rPr>
          <w:bCs/>
          <w:sz w:val="26"/>
          <w:szCs w:val="24"/>
        </w:rPr>
        <w:t xml:space="preserve"> GFP items. This option can be accomplished either manually </w:t>
      </w:r>
      <w:r w:rsidR="000311C6">
        <w:rPr>
          <w:bCs/>
          <w:sz w:val="26"/>
          <w:szCs w:val="24"/>
        </w:rPr>
        <w:t xml:space="preserve">via the IUID Registry web site </w:t>
      </w:r>
      <w:r w:rsidR="0066753B" w:rsidRPr="00527619">
        <w:rPr>
          <w:bCs/>
          <w:sz w:val="26"/>
          <w:szCs w:val="24"/>
        </w:rPr>
        <w:t xml:space="preserve">or </w:t>
      </w:r>
      <w:r w:rsidR="000311C6">
        <w:rPr>
          <w:bCs/>
          <w:sz w:val="26"/>
          <w:szCs w:val="24"/>
        </w:rPr>
        <w:t>by using</w:t>
      </w:r>
      <w:r w:rsidR="0066753B" w:rsidRPr="00527619">
        <w:rPr>
          <w:bCs/>
          <w:sz w:val="26"/>
          <w:szCs w:val="24"/>
        </w:rPr>
        <w:t xml:space="preserve"> electronic submission of properly formatted messages through GEX to the IUID Registry.</w:t>
      </w:r>
    </w:p>
    <w:p w:rsidR="0066753B" w:rsidRPr="00527619" w:rsidRDefault="0066753B" w:rsidP="00527619">
      <w:pPr>
        <w:rPr>
          <w:bCs/>
          <w:sz w:val="26"/>
          <w:szCs w:val="24"/>
        </w:rPr>
      </w:pPr>
      <w:r w:rsidRPr="00527619">
        <w:rPr>
          <w:bCs/>
          <w:sz w:val="26"/>
          <w:szCs w:val="24"/>
        </w:rPr>
        <w:t>Note that this approach does not p</w:t>
      </w:r>
      <w:r w:rsidR="000311C6">
        <w:rPr>
          <w:bCs/>
          <w:sz w:val="26"/>
          <w:szCs w:val="24"/>
        </w:rPr>
        <w:t xml:space="preserve">rovide notification to </w:t>
      </w:r>
      <w:r w:rsidRPr="00527619">
        <w:rPr>
          <w:bCs/>
          <w:sz w:val="26"/>
          <w:szCs w:val="24"/>
        </w:rPr>
        <w:t xml:space="preserve">government </w:t>
      </w:r>
      <w:r w:rsidR="000311C6">
        <w:rPr>
          <w:bCs/>
          <w:sz w:val="26"/>
          <w:szCs w:val="24"/>
        </w:rPr>
        <w:t>personnel or property systems</w:t>
      </w:r>
      <w:r w:rsidRPr="00527619">
        <w:rPr>
          <w:bCs/>
          <w:sz w:val="26"/>
          <w:szCs w:val="24"/>
        </w:rPr>
        <w:t>, and so it is not the recommended approach.</w:t>
      </w:r>
    </w:p>
    <w:p w:rsidR="0066753B" w:rsidRPr="00527619" w:rsidRDefault="0066753B" w:rsidP="00527619">
      <w:pPr>
        <w:rPr>
          <w:bCs/>
          <w:sz w:val="26"/>
          <w:szCs w:val="24"/>
        </w:rPr>
      </w:pPr>
      <w:r w:rsidRPr="00527619">
        <w:rPr>
          <w:bCs/>
          <w:sz w:val="26"/>
          <w:szCs w:val="24"/>
        </w:rPr>
        <w:t xml:space="preserve">Note that the UII must already be in the IUID Registry </w:t>
      </w:r>
      <w:r w:rsidR="000311C6">
        <w:rPr>
          <w:bCs/>
          <w:sz w:val="26"/>
          <w:szCs w:val="24"/>
        </w:rPr>
        <w:t>for the contractor to take custody.</w:t>
      </w:r>
    </w:p>
    <w:p w:rsidR="0066753B" w:rsidRDefault="0066753B" w:rsidP="00527619">
      <w:pPr>
        <w:rPr>
          <w:b/>
          <w:bCs/>
          <w:sz w:val="26"/>
          <w:szCs w:val="24"/>
        </w:rPr>
      </w:pPr>
      <w:r w:rsidRPr="00527619">
        <w:rPr>
          <w:bCs/>
          <w:sz w:val="26"/>
          <w:szCs w:val="24"/>
        </w:rPr>
        <w:t xml:space="preserve">Note that this approach is only for </w:t>
      </w:r>
      <w:proofErr w:type="spellStart"/>
      <w:r w:rsidRPr="00527619">
        <w:rPr>
          <w:bCs/>
          <w:sz w:val="26"/>
          <w:szCs w:val="24"/>
        </w:rPr>
        <w:t>UII’d</w:t>
      </w:r>
      <w:proofErr w:type="spellEnd"/>
      <w:r w:rsidRPr="00527619">
        <w:rPr>
          <w:bCs/>
          <w:sz w:val="26"/>
          <w:szCs w:val="24"/>
        </w:rPr>
        <w:t xml:space="preserve"> items; </w:t>
      </w:r>
      <w:proofErr w:type="spellStart"/>
      <w:r w:rsidRPr="00527619">
        <w:rPr>
          <w:bCs/>
          <w:sz w:val="26"/>
          <w:szCs w:val="24"/>
        </w:rPr>
        <w:t>nonUII</w:t>
      </w:r>
      <w:proofErr w:type="spellEnd"/>
      <w:r w:rsidRPr="00527619">
        <w:rPr>
          <w:bCs/>
          <w:sz w:val="26"/>
          <w:szCs w:val="24"/>
        </w:rPr>
        <w:t xml:space="preserve"> GFP is currently submitted via WAWF or initial load.</w:t>
      </w:r>
    </w:p>
    <w:p w:rsidR="00A00DA7" w:rsidRDefault="00A00DA7" w:rsidP="00992CC1">
      <w:pPr>
        <w:pStyle w:val="Heading3"/>
        <w:rPr>
          <w:rFonts w:ascii="Times New Roman" w:hAnsi="Times New Roman"/>
          <w:b w:val="0"/>
          <w:bCs/>
          <w:sz w:val="26"/>
          <w:szCs w:val="24"/>
        </w:rPr>
      </w:pPr>
    </w:p>
    <w:p w:rsidR="00A00DA7" w:rsidRDefault="00A00DA7" w:rsidP="00A00DA7">
      <w:pPr>
        <w:pStyle w:val="Heading2"/>
        <w:rPr>
          <w:bCs w:val="0"/>
          <w:szCs w:val="24"/>
        </w:rPr>
      </w:pPr>
      <w:bookmarkStart w:id="32" w:name="_Toc327516052"/>
      <w:r>
        <w:rPr>
          <w:bCs w:val="0"/>
          <w:szCs w:val="24"/>
        </w:rPr>
        <w:t>3.5 GFP R</w:t>
      </w:r>
      <w:r w:rsidR="006772D2">
        <w:rPr>
          <w:bCs w:val="0"/>
          <w:szCs w:val="24"/>
        </w:rPr>
        <w:t xml:space="preserve">ETURNING TO </w:t>
      </w:r>
      <w:proofErr w:type="gramStart"/>
      <w:r>
        <w:rPr>
          <w:bCs w:val="0"/>
          <w:szCs w:val="24"/>
        </w:rPr>
        <w:t>DoD</w:t>
      </w:r>
      <w:proofErr w:type="gramEnd"/>
      <w:r>
        <w:rPr>
          <w:bCs w:val="0"/>
          <w:szCs w:val="24"/>
        </w:rPr>
        <w:t xml:space="preserve"> C</w:t>
      </w:r>
      <w:r w:rsidR="006772D2">
        <w:rPr>
          <w:bCs w:val="0"/>
          <w:szCs w:val="24"/>
        </w:rPr>
        <w:t>USTODY</w:t>
      </w:r>
      <w:bookmarkEnd w:id="32"/>
    </w:p>
    <w:p w:rsidR="00A00DA7" w:rsidRDefault="00A00DA7" w:rsidP="00A00DA7"/>
    <w:p w:rsidR="00737634" w:rsidRDefault="00A00DA7" w:rsidP="00A00DA7">
      <w:r>
        <w:t xml:space="preserve">Items </w:t>
      </w:r>
      <w:r w:rsidR="00AD4D6D">
        <w:t>are</w:t>
      </w:r>
      <w:r>
        <w:t xml:space="preserve"> returned to </w:t>
      </w:r>
      <w:proofErr w:type="gramStart"/>
      <w:r>
        <w:t>DoD</w:t>
      </w:r>
      <w:proofErr w:type="gramEnd"/>
      <w:r>
        <w:t xml:space="preserve"> custody in a variety of ways depending on the item and wha</w:t>
      </w:r>
      <w:r w:rsidR="001C4262">
        <w:t>t has happened to the item duri</w:t>
      </w:r>
      <w:r w:rsidR="00E90401">
        <w:t>n</w:t>
      </w:r>
      <w:r w:rsidR="001C4262">
        <w:t xml:space="preserve">g </w:t>
      </w:r>
      <w:r>
        <w:t xml:space="preserve">the time it has been in the </w:t>
      </w:r>
      <w:r w:rsidR="001C4262">
        <w:t xml:space="preserve">Contractor </w:t>
      </w:r>
      <w:r>
        <w:t xml:space="preserve">custody. </w:t>
      </w:r>
      <w:r w:rsidR="0078593E">
        <w:t>Figure 7</w:t>
      </w:r>
      <w:r w:rsidR="00737634">
        <w:t xml:space="preserve"> provides a decision tree that identifies which enterprise tool is most appropriate to use to return GFP to </w:t>
      </w:r>
      <w:proofErr w:type="gramStart"/>
      <w:r w:rsidR="00737634">
        <w:t>DoD</w:t>
      </w:r>
      <w:proofErr w:type="gramEnd"/>
      <w:r w:rsidR="00737634">
        <w:t>. Blue boxes convey actions or decisions and green boxes identify the tool that best supports the situation.</w:t>
      </w:r>
    </w:p>
    <w:p w:rsidR="00737634" w:rsidRDefault="00C8270D" w:rsidP="00737634">
      <w:pPr>
        <w:keepNext/>
      </w:pPr>
      <w:r>
        <w:rPr>
          <w:noProof/>
        </w:rPr>
        <w:drawing>
          <wp:inline distT="0" distB="0" distL="0" distR="0">
            <wp:extent cx="5943600" cy="4143375"/>
            <wp:effectExtent l="19050" t="0" r="0" b="0"/>
            <wp:docPr id="2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5943600" cy="4143375"/>
                    </a:xfrm>
                    <a:prstGeom prst="rect">
                      <a:avLst/>
                    </a:prstGeom>
                    <a:noFill/>
                    <a:ln w="9525">
                      <a:noFill/>
                      <a:miter lim="800000"/>
                      <a:headEnd/>
                      <a:tailEnd/>
                    </a:ln>
                  </pic:spPr>
                </pic:pic>
              </a:graphicData>
            </a:graphic>
          </wp:inline>
        </w:drawing>
      </w:r>
    </w:p>
    <w:p w:rsidR="00737634" w:rsidRDefault="00737634" w:rsidP="00737634">
      <w:pPr>
        <w:pStyle w:val="Caption"/>
      </w:pPr>
      <w:bookmarkStart w:id="33" w:name="_Toc327516069"/>
      <w:proofErr w:type="gramStart"/>
      <w:r>
        <w:t xml:space="preserve">Figure </w:t>
      </w:r>
      <w:r w:rsidR="00B65468">
        <w:fldChar w:fldCharType="begin"/>
      </w:r>
      <w:r>
        <w:instrText xml:space="preserve"> SEQ Figure \* ARABIC </w:instrText>
      </w:r>
      <w:r w:rsidR="00B65468">
        <w:fldChar w:fldCharType="separate"/>
      </w:r>
      <w:r w:rsidR="00FF3108">
        <w:rPr>
          <w:noProof/>
        </w:rPr>
        <w:t>7</w:t>
      </w:r>
      <w:r w:rsidR="00B65468">
        <w:fldChar w:fldCharType="end"/>
      </w:r>
      <w:r>
        <w:t>.</w:t>
      </w:r>
      <w:proofErr w:type="gramEnd"/>
      <w:r>
        <w:t xml:space="preserve"> GFP Return Decision Tree</w:t>
      </w:r>
      <w:bookmarkEnd w:id="33"/>
    </w:p>
    <w:p w:rsidR="00737634" w:rsidRDefault="00737634" w:rsidP="00A00DA7"/>
    <w:p w:rsidR="00B75A2D" w:rsidRDefault="00B75A2D" w:rsidP="00B75A2D">
      <w:pPr>
        <w:pStyle w:val="Heading3"/>
        <w:rPr>
          <w:b w:val="0"/>
          <w:bCs/>
          <w:sz w:val="26"/>
          <w:szCs w:val="24"/>
        </w:rPr>
      </w:pPr>
      <w:bookmarkStart w:id="34" w:name="_Toc327516053"/>
      <w:r>
        <w:rPr>
          <w:b w:val="0"/>
          <w:bCs/>
          <w:sz w:val="26"/>
          <w:szCs w:val="24"/>
        </w:rPr>
        <w:t>3.5.1</w:t>
      </w:r>
      <w:r w:rsidRPr="00E1332E">
        <w:rPr>
          <w:b w:val="0"/>
          <w:bCs/>
          <w:sz w:val="26"/>
          <w:szCs w:val="24"/>
        </w:rPr>
        <w:t xml:space="preserve"> </w:t>
      </w:r>
      <w:r w:rsidR="00737634">
        <w:rPr>
          <w:b w:val="0"/>
          <w:bCs/>
          <w:sz w:val="26"/>
          <w:szCs w:val="24"/>
        </w:rPr>
        <w:t xml:space="preserve">Non-serialized, </w:t>
      </w:r>
      <w:proofErr w:type="spellStart"/>
      <w:r w:rsidR="00737634">
        <w:rPr>
          <w:b w:val="0"/>
          <w:bCs/>
          <w:sz w:val="26"/>
          <w:szCs w:val="24"/>
        </w:rPr>
        <w:t>NonUII’d</w:t>
      </w:r>
      <w:proofErr w:type="spellEnd"/>
      <w:r w:rsidR="00737634">
        <w:rPr>
          <w:b w:val="0"/>
          <w:bCs/>
          <w:sz w:val="26"/>
          <w:szCs w:val="24"/>
        </w:rPr>
        <w:t xml:space="preserve"> GFP</w:t>
      </w:r>
      <w:bookmarkEnd w:id="34"/>
    </w:p>
    <w:p w:rsidR="00B2352C" w:rsidRDefault="00737634" w:rsidP="00737634">
      <w:r>
        <w:t xml:space="preserve">It is important to note that non-serialized, </w:t>
      </w:r>
      <w:proofErr w:type="spellStart"/>
      <w:r>
        <w:t>nonUII’d</w:t>
      </w:r>
      <w:proofErr w:type="spellEnd"/>
      <w:r>
        <w:t xml:space="preserve"> GFP is </w:t>
      </w:r>
      <w:r w:rsidR="00A1081C">
        <w:t xml:space="preserve">normally </w:t>
      </w:r>
      <w:r>
        <w:t>accounted for and excess returned at the end of the contract</w:t>
      </w:r>
      <w:r w:rsidR="00341E21">
        <w:t xml:space="preserve"> (FAR 4.804-5)</w:t>
      </w:r>
      <w:r>
        <w:t xml:space="preserve">. This approach recognizes that non-serialized, </w:t>
      </w:r>
      <w:proofErr w:type="spellStart"/>
      <w:r>
        <w:t>nonUII’d</w:t>
      </w:r>
      <w:proofErr w:type="spellEnd"/>
      <w:r>
        <w:t xml:space="preserve"> GFP generally is consumed during contract execution and is not associated with a specific delivered item. </w:t>
      </w:r>
      <w:r w:rsidR="00125466">
        <w:t xml:space="preserve">Examples of this type of GFP include sheet metal, uniform fabric, and bulk items like bolts. </w:t>
      </w:r>
      <w:r>
        <w:t>As part of</w:t>
      </w:r>
      <w:r w:rsidR="00125466">
        <w:t xml:space="preserve"> the contract close out process</w:t>
      </w:r>
      <w:r>
        <w:t xml:space="preserve">, any remaining non-serialized, </w:t>
      </w:r>
      <w:proofErr w:type="spellStart"/>
      <w:r>
        <w:t>nonUII’d</w:t>
      </w:r>
      <w:proofErr w:type="spellEnd"/>
      <w:r>
        <w:t xml:space="preserve"> GFP will be </w:t>
      </w:r>
      <w:proofErr w:type="spellStart"/>
      <w:r>
        <w:t>dispositioned</w:t>
      </w:r>
      <w:proofErr w:type="spellEnd"/>
      <w:r>
        <w:t xml:space="preserve"> and the IUID Registry GFP module will be updated accordingly.  </w:t>
      </w:r>
      <w:r w:rsidR="00B2352C">
        <w:t xml:space="preserve">In January 2013, PCARSS will automatically update the GFP module of the IUID Registry to reflect the disposition of </w:t>
      </w:r>
      <w:proofErr w:type="spellStart"/>
      <w:r w:rsidR="00B2352C">
        <w:t>nonUII’d</w:t>
      </w:r>
      <w:proofErr w:type="spellEnd"/>
      <w:r w:rsidR="00B2352C">
        <w:t xml:space="preserve"> GFP in addition to current IUID functionality. Similarly, if </w:t>
      </w:r>
      <w:proofErr w:type="spellStart"/>
      <w:r w:rsidR="00B2352C">
        <w:t>nonUII’d</w:t>
      </w:r>
      <w:proofErr w:type="spellEnd"/>
      <w:r w:rsidR="00B2352C">
        <w:t xml:space="preserve"> GFP is accidentally removed from inventory while in contractor custody, the LTDD system will automatically update the IUID Registry GFP Module to reflect that decrement starting in January 2013.</w:t>
      </w:r>
    </w:p>
    <w:p w:rsidR="00B75A2D" w:rsidRDefault="00B75A2D" w:rsidP="00A00DA7"/>
    <w:p w:rsidR="00737634" w:rsidRDefault="00737634" w:rsidP="00737634">
      <w:pPr>
        <w:pStyle w:val="Heading3"/>
        <w:rPr>
          <w:b w:val="0"/>
          <w:bCs/>
          <w:sz w:val="26"/>
          <w:szCs w:val="24"/>
        </w:rPr>
      </w:pPr>
      <w:bookmarkStart w:id="35" w:name="_Toc327516054"/>
      <w:r>
        <w:rPr>
          <w:b w:val="0"/>
          <w:bCs/>
          <w:sz w:val="26"/>
          <w:szCs w:val="24"/>
        </w:rPr>
        <w:t>3.5.2</w:t>
      </w:r>
      <w:r w:rsidRPr="00E1332E">
        <w:rPr>
          <w:b w:val="0"/>
          <w:bCs/>
          <w:sz w:val="26"/>
          <w:szCs w:val="24"/>
        </w:rPr>
        <w:t xml:space="preserve"> </w:t>
      </w:r>
      <w:r w:rsidR="009F5582">
        <w:rPr>
          <w:b w:val="0"/>
          <w:bCs/>
          <w:sz w:val="26"/>
          <w:szCs w:val="24"/>
        </w:rPr>
        <w:t>Product Support Items</w:t>
      </w:r>
      <w:bookmarkEnd w:id="35"/>
    </w:p>
    <w:p w:rsidR="004E2576" w:rsidRPr="00527619" w:rsidRDefault="00354A51" w:rsidP="00527619">
      <w:pPr>
        <w:rPr>
          <w:bCs/>
          <w:sz w:val="26"/>
          <w:szCs w:val="24"/>
        </w:rPr>
      </w:pPr>
      <w:r w:rsidRPr="00527619">
        <w:rPr>
          <w:bCs/>
          <w:sz w:val="26"/>
          <w:szCs w:val="24"/>
        </w:rPr>
        <w:t>GFP can</w:t>
      </w:r>
      <w:r w:rsidR="00125466" w:rsidRPr="00527619">
        <w:rPr>
          <w:bCs/>
          <w:sz w:val="26"/>
          <w:szCs w:val="24"/>
        </w:rPr>
        <w:t xml:space="preserve"> </w:t>
      </w:r>
      <w:r w:rsidRPr="00527619">
        <w:rPr>
          <w:bCs/>
          <w:sz w:val="26"/>
          <w:szCs w:val="24"/>
        </w:rPr>
        <w:t xml:space="preserve">be </w:t>
      </w:r>
      <w:r w:rsidR="009F5582">
        <w:rPr>
          <w:bCs/>
          <w:sz w:val="26"/>
          <w:szCs w:val="24"/>
        </w:rPr>
        <w:t xml:space="preserve">independent </w:t>
      </w:r>
      <w:r w:rsidRPr="00527619">
        <w:rPr>
          <w:bCs/>
          <w:sz w:val="26"/>
          <w:szCs w:val="24"/>
        </w:rPr>
        <w:t xml:space="preserve">items </w:t>
      </w:r>
      <w:r w:rsidR="009F5582">
        <w:rPr>
          <w:bCs/>
          <w:sz w:val="26"/>
          <w:szCs w:val="24"/>
        </w:rPr>
        <w:t>including</w:t>
      </w:r>
      <w:r w:rsidR="00125466" w:rsidRPr="00527619">
        <w:rPr>
          <w:bCs/>
          <w:sz w:val="26"/>
          <w:szCs w:val="24"/>
        </w:rPr>
        <w:t xml:space="preserve"> tooling, test equipment, and production support items. </w:t>
      </w:r>
      <w:r w:rsidRPr="00527619">
        <w:rPr>
          <w:bCs/>
          <w:sz w:val="26"/>
          <w:szCs w:val="24"/>
        </w:rPr>
        <w:t xml:space="preserve">These items generally are serialized and are IUID relevant. </w:t>
      </w:r>
      <w:r w:rsidR="00125466" w:rsidRPr="00527619">
        <w:rPr>
          <w:bCs/>
          <w:sz w:val="26"/>
          <w:szCs w:val="24"/>
        </w:rPr>
        <w:t xml:space="preserve">These types of items </w:t>
      </w:r>
      <w:r w:rsidR="004E2576" w:rsidRPr="00527619">
        <w:rPr>
          <w:bCs/>
          <w:sz w:val="26"/>
          <w:szCs w:val="24"/>
        </w:rPr>
        <w:t xml:space="preserve">are </w:t>
      </w:r>
      <w:r w:rsidRPr="00527619">
        <w:rPr>
          <w:bCs/>
          <w:sz w:val="26"/>
          <w:szCs w:val="24"/>
        </w:rPr>
        <w:t>usually</w:t>
      </w:r>
      <w:r w:rsidR="00125466" w:rsidRPr="00527619">
        <w:rPr>
          <w:bCs/>
          <w:sz w:val="26"/>
          <w:szCs w:val="24"/>
        </w:rPr>
        <w:t xml:space="preserve"> provided by the program directly, but may occasionally be provided from the supply system. </w:t>
      </w:r>
      <w:r w:rsidR="004E2576" w:rsidRPr="00527619">
        <w:rPr>
          <w:bCs/>
          <w:sz w:val="26"/>
          <w:szCs w:val="24"/>
        </w:rPr>
        <w:t xml:space="preserve">These GFP items are </w:t>
      </w:r>
      <w:r w:rsidR="009F5582">
        <w:rPr>
          <w:bCs/>
          <w:sz w:val="26"/>
          <w:szCs w:val="24"/>
        </w:rPr>
        <w:t xml:space="preserve">usually </w:t>
      </w:r>
      <w:r w:rsidR="004E2576" w:rsidRPr="00527619">
        <w:rPr>
          <w:bCs/>
          <w:sz w:val="26"/>
          <w:szCs w:val="24"/>
        </w:rPr>
        <w:t>ret</w:t>
      </w:r>
      <w:r w:rsidR="009F5582">
        <w:rPr>
          <w:bCs/>
          <w:sz w:val="26"/>
          <w:szCs w:val="24"/>
        </w:rPr>
        <w:t>urned to the source – either the</w:t>
      </w:r>
      <w:r w:rsidR="004E2576" w:rsidRPr="00527619">
        <w:rPr>
          <w:bCs/>
          <w:sz w:val="26"/>
          <w:szCs w:val="24"/>
        </w:rPr>
        <w:t xml:space="preserve"> program via the MCA or the DoD Supply System.</w:t>
      </w:r>
    </w:p>
    <w:p w:rsidR="00737634" w:rsidRPr="00527619" w:rsidRDefault="004E2576" w:rsidP="00527619">
      <w:pPr>
        <w:rPr>
          <w:b/>
          <w:bCs/>
          <w:sz w:val="26"/>
          <w:szCs w:val="24"/>
        </w:rPr>
      </w:pPr>
      <w:r w:rsidRPr="00527619">
        <w:rPr>
          <w:bCs/>
          <w:sz w:val="26"/>
          <w:szCs w:val="24"/>
        </w:rPr>
        <w:t>The WAWF Property Transfer (PT) capabilit</w:t>
      </w:r>
      <w:r w:rsidR="009F5582">
        <w:rPr>
          <w:bCs/>
          <w:sz w:val="26"/>
          <w:szCs w:val="24"/>
        </w:rPr>
        <w:t>y is used to return items to a</w:t>
      </w:r>
      <w:r w:rsidRPr="00527619">
        <w:rPr>
          <w:bCs/>
          <w:sz w:val="26"/>
          <w:szCs w:val="24"/>
        </w:rPr>
        <w:t xml:space="preserve"> Program</w:t>
      </w:r>
      <w:r w:rsidR="009F5582">
        <w:rPr>
          <w:bCs/>
          <w:sz w:val="26"/>
          <w:szCs w:val="24"/>
        </w:rPr>
        <w:t xml:space="preserve"> Manager or other property accountability point of control</w:t>
      </w:r>
      <w:r w:rsidRPr="00527619">
        <w:rPr>
          <w:bCs/>
          <w:sz w:val="26"/>
          <w:szCs w:val="24"/>
        </w:rPr>
        <w:t xml:space="preserve">. To accomplish return of GFP using WAWF, the Contractor must have the WAWF role of </w:t>
      </w:r>
      <w:r w:rsidRPr="00527619">
        <w:rPr>
          <w:b/>
          <w:bCs/>
          <w:sz w:val="26"/>
          <w:szCs w:val="24"/>
        </w:rPr>
        <w:t>Contractor Property Shipper</w:t>
      </w:r>
      <w:r w:rsidR="00125466" w:rsidRPr="00527619">
        <w:rPr>
          <w:bCs/>
          <w:sz w:val="26"/>
          <w:szCs w:val="24"/>
        </w:rPr>
        <w:t xml:space="preserve"> </w:t>
      </w:r>
      <w:r w:rsidRPr="00527619">
        <w:rPr>
          <w:bCs/>
          <w:sz w:val="26"/>
          <w:szCs w:val="24"/>
        </w:rPr>
        <w:t xml:space="preserve">and the MCA must have the role of </w:t>
      </w:r>
      <w:r w:rsidRPr="00527619">
        <w:rPr>
          <w:b/>
          <w:bCs/>
          <w:sz w:val="26"/>
          <w:szCs w:val="24"/>
        </w:rPr>
        <w:t>Government Property Receiver.</w:t>
      </w:r>
    </w:p>
    <w:p w:rsidR="00AD4D6D" w:rsidRPr="00527619" w:rsidRDefault="00AD4D6D" w:rsidP="00527619"/>
    <w:p w:rsidR="00354A51" w:rsidRPr="00527619" w:rsidRDefault="009F5582" w:rsidP="00527619">
      <w:r>
        <w:t>When the items are</w:t>
      </w:r>
      <w:r w:rsidR="00354A51" w:rsidRPr="00527619">
        <w:t xml:space="preserve"> shipped back to </w:t>
      </w:r>
      <w:proofErr w:type="gramStart"/>
      <w:r w:rsidR="00354A51" w:rsidRPr="00527619">
        <w:t>DoD</w:t>
      </w:r>
      <w:proofErr w:type="gramEnd"/>
      <w:r w:rsidR="00354A51" w:rsidRPr="00527619">
        <w:t xml:space="preserve">, the Contractor enters the WAWF Property Transfer data into WAWF either via the web interface or in a properly formatted electronic message. The </w:t>
      </w:r>
      <w:proofErr w:type="gramStart"/>
      <w:r w:rsidR="00354A51" w:rsidRPr="00527619">
        <w:t>DoD</w:t>
      </w:r>
      <w:proofErr w:type="gramEnd"/>
      <w:r w:rsidR="00354A51" w:rsidRPr="00527619">
        <w:t xml:space="preserve"> recipient, usually the MCA, will receive email notice that the item is en route. This pr</w:t>
      </w:r>
      <w:r w:rsidR="0078593E">
        <w:t>ocess is illustrated in Figure 8</w:t>
      </w:r>
      <w:r w:rsidR="00354A51" w:rsidRPr="00527619">
        <w:t xml:space="preserve">. </w:t>
      </w:r>
    </w:p>
    <w:p w:rsidR="00354A51" w:rsidRPr="00527619" w:rsidRDefault="00354A51" w:rsidP="00527619"/>
    <w:p w:rsidR="00C9685D" w:rsidRPr="00527619" w:rsidRDefault="00C9685D" w:rsidP="00527619">
      <w:r w:rsidRPr="00527619">
        <w:rPr>
          <w:noProof/>
        </w:rPr>
        <w:drawing>
          <wp:inline distT="0" distB="0" distL="0" distR="0">
            <wp:extent cx="4933950" cy="2653087"/>
            <wp:effectExtent l="1905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4933950" cy="2653087"/>
                    </a:xfrm>
                    <a:prstGeom prst="rect">
                      <a:avLst/>
                    </a:prstGeom>
                    <a:noFill/>
                    <a:ln w="9525">
                      <a:noFill/>
                      <a:miter lim="800000"/>
                      <a:headEnd/>
                      <a:tailEnd/>
                    </a:ln>
                  </pic:spPr>
                </pic:pic>
              </a:graphicData>
            </a:graphic>
          </wp:inline>
        </w:drawing>
      </w:r>
    </w:p>
    <w:p w:rsidR="00354A51" w:rsidRPr="00527619" w:rsidRDefault="00C9685D" w:rsidP="00527619">
      <w:bookmarkStart w:id="36" w:name="_Toc327516070"/>
      <w:proofErr w:type="gramStart"/>
      <w:r w:rsidRPr="00527619">
        <w:t xml:space="preserve">Figure </w:t>
      </w:r>
      <w:r w:rsidR="00B65468" w:rsidRPr="00527619">
        <w:fldChar w:fldCharType="begin"/>
      </w:r>
      <w:r w:rsidRPr="00527619">
        <w:instrText xml:space="preserve"> SEQ Figure \* ARABIC </w:instrText>
      </w:r>
      <w:r w:rsidR="00B65468" w:rsidRPr="00527619">
        <w:fldChar w:fldCharType="separate"/>
      </w:r>
      <w:r w:rsidR="00FF3108">
        <w:rPr>
          <w:noProof/>
        </w:rPr>
        <w:t>8</w:t>
      </w:r>
      <w:r w:rsidR="00B65468" w:rsidRPr="00527619">
        <w:fldChar w:fldCharType="end"/>
      </w:r>
      <w:r w:rsidRPr="00527619">
        <w:t>.</w:t>
      </w:r>
      <w:proofErr w:type="gramEnd"/>
      <w:r w:rsidRPr="00527619">
        <w:t xml:space="preserve"> GFP Return from Contractor via WAWF</w:t>
      </w:r>
      <w:bookmarkEnd w:id="36"/>
    </w:p>
    <w:p w:rsidR="00C9685D" w:rsidRPr="00527619" w:rsidRDefault="00C9685D" w:rsidP="00527619"/>
    <w:p w:rsidR="00AD4D6D" w:rsidRPr="00527619" w:rsidRDefault="0064166F" w:rsidP="00527619">
      <w:r w:rsidRPr="00527619">
        <w:t>When receipt is acknowledged by the</w:t>
      </w:r>
      <w:r w:rsidR="00354A51" w:rsidRPr="00527619">
        <w:t xml:space="preserve"> DoD</w:t>
      </w:r>
      <w:r w:rsidRPr="00527619">
        <w:t xml:space="preserve"> Government Property Receiver in WAWF</w:t>
      </w:r>
      <w:r w:rsidR="00354A51" w:rsidRPr="00527619">
        <w:t xml:space="preserve">, the item will be removed from Contractor custody in the IUID Registry and in the identified property system.  This process is </w:t>
      </w:r>
      <w:r w:rsidR="0078593E">
        <w:t>illustrated in Figure 9</w:t>
      </w:r>
      <w:r w:rsidRPr="00527619">
        <w:t>.</w:t>
      </w:r>
    </w:p>
    <w:p w:rsidR="0064166F" w:rsidRPr="00527619" w:rsidRDefault="0064166F" w:rsidP="00527619"/>
    <w:p w:rsidR="0064166F" w:rsidRPr="00527619" w:rsidRDefault="0064166F" w:rsidP="00527619">
      <w:r w:rsidRPr="00527619">
        <w:rPr>
          <w:noProof/>
        </w:rPr>
        <w:drawing>
          <wp:inline distT="0" distB="0" distL="0" distR="0">
            <wp:extent cx="5260889" cy="2495550"/>
            <wp:effectExtent l="19050" t="0" r="0"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srcRect/>
                    <a:stretch>
                      <a:fillRect/>
                    </a:stretch>
                  </pic:blipFill>
                  <pic:spPr bwMode="auto">
                    <a:xfrm>
                      <a:off x="0" y="0"/>
                      <a:ext cx="5260889" cy="2495550"/>
                    </a:xfrm>
                    <a:prstGeom prst="rect">
                      <a:avLst/>
                    </a:prstGeom>
                    <a:noFill/>
                    <a:ln w="9525">
                      <a:noFill/>
                      <a:miter lim="800000"/>
                      <a:headEnd/>
                      <a:tailEnd/>
                    </a:ln>
                  </pic:spPr>
                </pic:pic>
              </a:graphicData>
            </a:graphic>
          </wp:inline>
        </w:drawing>
      </w:r>
    </w:p>
    <w:p w:rsidR="0064166F" w:rsidRPr="00527619" w:rsidRDefault="0064166F" w:rsidP="00527619">
      <w:bookmarkStart w:id="37" w:name="_Toc327516071"/>
      <w:proofErr w:type="gramStart"/>
      <w:r w:rsidRPr="00527619">
        <w:t xml:space="preserve">Figure </w:t>
      </w:r>
      <w:r w:rsidR="00B65468" w:rsidRPr="00527619">
        <w:fldChar w:fldCharType="begin"/>
      </w:r>
      <w:r w:rsidRPr="00527619">
        <w:instrText xml:space="preserve"> SEQ Figure \* ARABIC </w:instrText>
      </w:r>
      <w:r w:rsidR="00B65468" w:rsidRPr="00527619">
        <w:fldChar w:fldCharType="separate"/>
      </w:r>
      <w:r w:rsidR="00FF3108">
        <w:rPr>
          <w:noProof/>
        </w:rPr>
        <w:t>9</w:t>
      </w:r>
      <w:r w:rsidR="00B65468" w:rsidRPr="00527619">
        <w:fldChar w:fldCharType="end"/>
      </w:r>
      <w:r w:rsidRPr="00527619">
        <w:t>.</w:t>
      </w:r>
      <w:proofErr w:type="gramEnd"/>
      <w:r w:rsidRPr="00527619">
        <w:t xml:space="preserve"> </w:t>
      </w:r>
      <w:proofErr w:type="gramStart"/>
      <w:r w:rsidRPr="00527619">
        <w:t>DoD</w:t>
      </w:r>
      <w:proofErr w:type="gramEnd"/>
      <w:r w:rsidRPr="00527619">
        <w:t xml:space="preserve"> GFP Return Receipt Acknowledgement via WAWF</w:t>
      </w:r>
      <w:bookmarkEnd w:id="37"/>
    </w:p>
    <w:p w:rsidR="009F5582" w:rsidRDefault="009F5582" w:rsidP="003D00E7">
      <w:pPr>
        <w:pStyle w:val="Heading3"/>
        <w:rPr>
          <w:b w:val="0"/>
          <w:bCs/>
          <w:sz w:val="26"/>
          <w:szCs w:val="24"/>
        </w:rPr>
      </w:pPr>
    </w:p>
    <w:p w:rsidR="00C8270D" w:rsidRDefault="00C8270D" w:rsidP="003D00E7">
      <w:pPr>
        <w:pStyle w:val="Heading3"/>
        <w:rPr>
          <w:b w:val="0"/>
          <w:bCs/>
          <w:sz w:val="26"/>
          <w:szCs w:val="24"/>
        </w:rPr>
      </w:pPr>
      <w:bookmarkStart w:id="38" w:name="_Toc327516055"/>
      <w:r>
        <w:rPr>
          <w:b w:val="0"/>
          <w:bCs/>
          <w:sz w:val="26"/>
          <w:szCs w:val="24"/>
        </w:rPr>
        <w:t>3.5.3</w:t>
      </w:r>
      <w:r w:rsidRPr="00E1332E">
        <w:rPr>
          <w:b w:val="0"/>
          <w:bCs/>
          <w:sz w:val="26"/>
          <w:szCs w:val="24"/>
        </w:rPr>
        <w:t xml:space="preserve"> </w:t>
      </w:r>
      <w:r>
        <w:rPr>
          <w:b w:val="0"/>
          <w:bCs/>
          <w:sz w:val="26"/>
          <w:szCs w:val="24"/>
        </w:rPr>
        <w:t>GFP Embedded in New Item Delivery</w:t>
      </w:r>
      <w:bookmarkEnd w:id="38"/>
    </w:p>
    <w:p w:rsidR="00C8270D" w:rsidRDefault="00C8270D" w:rsidP="00C8270D">
      <w:pPr>
        <w:pStyle w:val="Heading3"/>
        <w:rPr>
          <w:b w:val="0"/>
          <w:bCs/>
          <w:sz w:val="26"/>
          <w:szCs w:val="24"/>
        </w:rPr>
      </w:pPr>
    </w:p>
    <w:p w:rsidR="003A6679" w:rsidRDefault="003A6679" w:rsidP="003A6679">
      <w:pPr>
        <w:rPr>
          <w:bCs/>
          <w:sz w:val="26"/>
          <w:szCs w:val="24"/>
        </w:rPr>
      </w:pPr>
      <w:r>
        <w:rPr>
          <w:bCs/>
          <w:sz w:val="26"/>
          <w:szCs w:val="24"/>
        </w:rPr>
        <w:t xml:space="preserve">Subassemblies and components can be provided </w:t>
      </w:r>
      <w:r w:rsidR="009F5582">
        <w:rPr>
          <w:bCs/>
          <w:sz w:val="26"/>
          <w:szCs w:val="24"/>
        </w:rPr>
        <w:t xml:space="preserve">by the government </w:t>
      </w:r>
      <w:r>
        <w:rPr>
          <w:bCs/>
          <w:sz w:val="26"/>
          <w:szCs w:val="24"/>
        </w:rPr>
        <w:t xml:space="preserve">to support contract execution of newly procured items. An example of this situation is an engine provided as GFP to an aircraft manufacturer. In this case, the GFP is </w:t>
      </w:r>
      <w:r w:rsidR="009F5582">
        <w:rPr>
          <w:bCs/>
          <w:sz w:val="26"/>
          <w:szCs w:val="24"/>
        </w:rPr>
        <w:t xml:space="preserve">then </w:t>
      </w:r>
      <w:r>
        <w:rPr>
          <w:bCs/>
          <w:sz w:val="26"/>
          <w:szCs w:val="24"/>
        </w:rPr>
        <w:t xml:space="preserve">returned to </w:t>
      </w:r>
      <w:proofErr w:type="gramStart"/>
      <w:r>
        <w:rPr>
          <w:bCs/>
          <w:sz w:val="26"/>
          <w:szCs w:val="24"/>
        </w:rPr>
        <w:t>DoD</w:t>
      </w:r>
      <w:proofErr w:type="gramEnd"/>
      <w:r>
        <w:rPr>
          <w:bCs/>
          <w:sz w:val="26"/>
          <w:szCs w:val="24"/>
        </w:rPr>
        <w:t xml:space="preserve"> as part of the delivery of the new aircraft. The </w:t>
      </w:r>
      <w:proofErr w:type="gramStart"/>
      <w:r>
        <w:rPr>
          <w:bCs/>
          <w:sz w:val="26"/>
          <w:szCs w:val="24"/>
        </w:rPr>
        <w:t>DoD</w:t>
      </w:r>
      <w:proofErr w:type="gramEnd"/>
      <w:r>
        <w:rPr>
          <w:bCs/>
          <w:sz w:val="26"/>
          <w:szCs w:val="24"/>
        </w:rPr>
        <w:t xml:space="preserve"> enterprise tool for delivery of new items is the WAWF Receipt and Acceptance (WAWF RA) capability.  This tool allows the Contractor to </w:t>
      </w:r>
      <w:r w:rsidR="00794E19">
        <w:rPr>
          <w:bCs/>
          <w:sz w:val="26"/>
          <w:szCs w:val="24"/>
        </w:rPr>
        <w:t xml:space="preserve">electronically </w:t>
      </w:r>
      <w:r>
        <w:rPr>
          <w:bCs/>
          <w:sz w:val="26"/>
          <w:szCs w:val="24"/>
        </w:rPr>
        <w:t xml:space="preserve">invoice and submit the “DD250” or receiving report of the delivered item.  </w:t>
      </w:r>
    </w:p>
    <w:p w:rsidR="003A6679" w:rsidRDefault="003A6679" w:rsidP="003A6679">
      <w:pPr>
        <w:rPr>
          <w:bCs/>
          <w:sz w:val="26"/>
          <w:szCs w:val="24"/>
        </w:rPr>
      </w:pPr>
      <w:r>
        <w:rPr>
          <w:bCs/>
          <w:sz w:val="26"/>
          <w:szCs w:val="24"/>
        </w:rPr>
        <w:t xml:space="preserve">The embedded </w:t>
      </w:r>
      <w:proofErr w:type="spellStart"/>
      <w:r>
        <w:rPr>
          <w:bCs/>
          <w:sz w:val="26"/>
          <w:szCs w:val="24"/>
        </w:rPr>
        <w:t>UII’d</w:t>
      </w:r>
      <w:proofErr w:type="spellEnd"/>
      <w:r>
        <w:rPr>
          <w:bCs/>
          <w:sz w:val="26"/>
          <w:szCs w:val="24"/>
        </w:rPr>
        <w:t xml:space="preserve"> GFP is associated with the end item at the</w:t>
      </w:r>
      <w:r w:rsidR="00794E19">
        <w:rPr>
          <w:bCs/>
          <w:sz w:val="26"/>
          <w:szCs w:val="24"/>
        </w:rPr>
        <w:t xml:space="preserve"> time of submission to WAWF RA.  Up to one hundred </w:t>
      </w:r>
      <w:r>
        <w:rPr>
          <w:bCs/>
          <w:sz w:val="26"/>
          <w:szCs w:val="24"/>
        </w:rPr>
        <w:t xml:space="preserve">new </w:t>
      </w:r>
      <w:proofErr w:type="spellStart"/>
      <w:r>
        <w:rPr>
          <w:bCs/>
          <w:sz w:val="26"/>
          <w:szCs w:val="24"/>
        </w:rPr>
        <w:t>UII’d</w:t>
      </w:r>
      <w:proofErr w:type="spellEnd"/>
      <w:r>
        <w:rPr>
          <w:bCs/>
          <w:sz w:val="26"/>
          <w:szCs w:val="24"/>
        </w:rPr>
        <w:t xml:space="preserve"> items and GFP </w:t>
      </w:r>
      <w:proofErr w:type="spellStart"/>
      <w:r>
        <w:rPr>
          <w:bCs/>
          <w:sz w:val="26"/>
          <w:szCs w:val="24"/>
        </w:rPr>
        <w:t>UII’d</w:t>
      </w:r>
      <w:proofErr w:type="spellEnd"/>
      <w:r>
        <w:rPr>
          <w:bCs/>
          <w:sz w:val="26"/>
          <w:szCs w:val="24"/>
        </w:rPr>
        <w:t xml:space="preserve"> </w:t>
      </w:r>
      <w:proofErr w:type="gramStart"/>
      <w:r>
        <w:rPr>
          <w:bCs/>
          <w:sz w:val="26"/>
          <w:szCs w:val="24"/>
        </w:rPr>
        <w:t>items</w:t>
      </w:r>
      <w:proofErr w:type="gramEnd"/>
      <w:r>
        <w:rPr>
          <w:bCs/>
          <w:sz w:val="26"/>
          <w:szCs w:val="24"/>
        </w:rPr>
        <w:t xml:space="preserve"> can be associated with the delivered item</w:t>
      </w:r>
      <w:r w:rsidR="00794E19">
        <w:rPr>
          <w:bCs/>
          <w:sz w:val="26"/>
          <w:szCs w:val="24"/>
        </w:rPr>
        <w:t xml:space="preserve"> with a single level of indenture. </w:t>
      </w:r>
      <w:r>
        <w:rPr>
          <w:bCs/>
          <w:sz w:val="26"/>
          <w:szCs w:val="24"/>
        </w:rPr>
        <w:t xml:space="preserve">Note that the UII of the GFP must already be resident in the IUID Registry.  </w:t>
      </w:r>
      <w:r w:rsidR="0078593E">
        <w:rPr>
          <w:bCs/>
          <w:sz w:val="26"/>
          <w:szCs w:val="24"/>
        </w:rPr>
        <w:t>This process is illustrated in Figure 10.</w:t>
      </w:r>
    </w:p>
    <w:p w:rsidR="00794E19" w:rsidRPr="003A6679" w:rsidRDefault="00794E19" w:rsidP="003A6679">
      <w:pPr>
        <w:rPr>
          <w:bCs/>
          <w:sz w:val="26"/>
          <w:szCs w:val="24"/>
        </w:rPr>
      </w:pPr>
      <w:r>
        <w:rPr>
          <w:bCs/>
          <w:sz w:val="26"/>
          <w:szCs w:val="24"/>
        </w:rPr>
        <w:t>If there are multiple levels of indenture, the GFP and new embedded item data can be submitted directly to the IUID Registry after acceptance of the end item. Alternatively, an attachment containing the embedded items can be included in the WAWF submission.</w:t>
      </w:r>
    </w:p>
    <w:p w:rsidR="00A00DA7" w:rsidRDefault="00A00DA7" w:rsidP="00992CC1">
      <w:pPr>
        <w:pStyle w:val="Heading3"/>
        <w:rPr>
          <w:rFonts w:ascii="Times New Roman" w:hAnsi="Times New Roman"/>
          <w:b w:val="0"/>
          <w:bCs/>
          <w:sz w:val="26"/>
          <w:szCs w:val="24"/>
        </w:rPr>
      </w:pPr>
    </w:p>
    <w:p w:rsidR="00B277F7" w:rsidRDefault="00B277F7" w:rsidP="00B277F7">
      <w:pPr>
        <w:pStyle w:val="Heading3"/>
      </w:pPr>
      <w:r>
        <w:rPr>
          <w:b w:val="0"/>
          <w:bCs/>
          <w:noProof/>
          <w:sz w:val="26"/>
          <w:szCs w:val="24"/>
        </w:rPr>
        <w:drawing>
          <wp:inline distT="0" distB="0" distL="0" distR="0">
            <wp:extent cx="5295900" cy="2737207"/>
            <wp:effectExtent l="19050" t="0" r="0" b="0"/>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srcRect/>
                    <a:stretch>
                      <a:fillRect/>
                    </a:stretch>
                  </pic:blipFill>
                  <pic:spPr bwMode="auto">
                    <a:xfrm>
                      <a:off x="0" y="0"/>
                      <a:ext cx="5295900" cy="2737207"/>
                    </a:xfrm>
                    <a:prstGeom prst="rect">
                      <a:avLst/>
                    </a:prstGeom>
                    <a:noFill/>
                    <a:ln w="9525">
                      <a:noFill/>
                      <a:miter lim="800000"/>
                      <a:headEnd/>
                      <a:tailEnd/>
                    </a:ln>
                  </pic:spPr>
                </pic:pic>
              </a:graphicData>
            </a:graphic>
          </wp:inline>
        </w:drawing>
      </w:r>
    </w:p>
    <w:p w:rsidR="00C8270D" w:rsidRDefault="00B277F7" w:rsidP="00B277F7">
      <w:pPr>
        <w:pStyle w:val="Caption"/>
        <w:jc w:val="both"/>
        <w:rPr>
          <w:b w:val="0"/>
          <w:bCs w:val="0"/>
          <w:sz w:val="26"/>
          <w:szCs w:val="24"/>
        </w:rPr>
      </w:pPr>
      <w:bookmarkStart w:id="39" w:name="_Toc327516072"/>
      <w:proofErr w:type="gramStart"/>
      <w:r>
        <w:t xml:space="preserve">Figure </w:t>
      </w:r>
      <w:r w:rsidR="00B65468">
        <w:fldChar w:fldCharType="begin"/>
      </w:r>
      <w:r w:rsidR="00746676">
        <w:instrText xml:space="preserve"> SEQ Figure \* ARABIC </w:instrText>
      </w:r>
      <w:r w:rsidR="00B65468">
        <w:fldChar w:fldCharType="separate"/>
      </w:r>
      <w:r w:rsidR="00FF3108">
        <w:rPr>
          <w:noProof/>
        </w:rPr>
        <w:t>10</w:t>
      </w:r>
      <w:r w:rsidR="00B65468">
        <w:fldChar w:fldCharType="end"/>
      </w:r>
      <w:r>
        <w:t>.</w:t>
      </w:r>
      <w:proofErr w:type="gramEnd"/>
      <w:r>
        <w:t xml:space="preserve"> GFP Returned as Embedded in New Item</w:t>
      </w:r>
      <w:bookmarkEnd w:id="39"/>
    </w:p>
    <w:p w:rsidR="00C8270D" w:rsidRDefault="00C8270D" w:rsidP="00527619">
      <w:pPr>
        <w:pStyle w:val="Heading3"/>
        <w:rPr>
          <w:b w:val="0"/>
          <w:bCs/>
          <w:sz w:val="26"/>
          <w:szCs w:val="24"/>
        </w:rPr>
      </w:pPr>
    </w:p>
    <w:p w:rsidR="00C8270D" w:rsidRDefault="00C8270D" w:rsidP="00527619">
      <w:pPr>
        <w:pStyle w:val="Heading3"/>
        <w:rPr>
          <w:b w:val="0"/>
          <w:bCs/>
          <w:sz w:val="26"/>
          <w:szCs w:val="24"/>
        </w:rPr>
      </w:pPr>
    </w:p>
    <w:p w:rsidR="00C8270D" w:rsidRDefault="00C8270D" w:rsidP="00527619">
      <w:pPr>
        <w:pStyle w:val="Heading3"/>
        <w:rPr>
          <w:b w:val="0"/>
          <w:bCs/>
          <w:sz w:val="26"/>
          <w:szCs w:val="24"/>
        </w:rPr>
      </w:pPr>
    </w:p>
    <w:p w:rsidR="00E44150" w:rsidRDefault="003D00E7" w:rsidP="00527619">
      <w:pPr>
        <w:pStyle w:val="Heading3"/>
        <w:rPr>
          <w:b w:val="0"/>
          <w:bCs/>
          <w:sz w:val="26"/>
          <w:szCs w:val="24"/>
        </w:rPr>
      </w:pPr>
      <w:bookmarkStart w:id="40" w:name="_Toc327516056"/>
      <w:r>
        <w:rPr>
          <w:b w:val="0"/>
          <w:bCs/>
          <w:sz w:val="26"/>
          <w:szCs w:val="24"/>
        </w:rPr>
        <w:t>3.5.4</w:t>
      </w:r>
      <w:r w:rsidR="00E44150" w:rsidRPr="00E1332E">
        <w:rPr>
          <w:b w:val="0"/>
          <w:bCs/>
          <w:sz w:val="26"/>
          <w:szCs w:val="24"/>
        </w:rPr>
        <w:t xml:space="preserve"> </w:t>
      </w:r>
      <w:proofErr w:type="spellStart"/>
      <w:r w:rsidR="00E44150">
        <w:rPr>
          <w:b w:val="0"/>
          <w:bCs/>
          <w:sz w:val="26"/>
          <w:szCs w:val="24"/>
        </w:rPr>
        <w:t>Reparables</w:t>
      </w:r>
      <w:bookmarkEnd w:id="40"/>
      <w:proofErr w:type="spellEnd"/>
    </w:p>
    <w:p w:rsidR="008B3B04" w:rsidRDefault="00E44150" w:rsidP="008B3B04">
      <w:pPr>
        <w:keepNext/>
      </w:pPr>
      <w:r w:rsidRPr="00527619">
        <w:rPr>
          <w:bCs/>
          <w:sz w:val="26"/>
          <w:szCs w:val="24"/>
        </w:rPr>
        <w:t xml:space="preserve">When a reparable item has been repaired </w:t>
      </w:r>
      <w:r w:rsidR="00527619" w:rsidRPr="00527619">
        <w:rPr>
          <w:bCs/>
          <w:sz w:val="26"/>
          <w:szCs w:val="24"/>
        </w:rPr>
        <w:t>and is ready for</w:t>
      </w:r>
      <w:r w:rsidRPr="00527619">
        <w:rPr>
          <w:bCs/>
          <w:sz w:val="26"/>
          <w:szCs w:val="24"/>
        </w:rPr>
        <w:t xml:space="preserve"> return to </w:t>
      </w:r>
      <w:proofErr w:type="gramStart"/>
      <w:r w:rsidRPr="00527619">
        <w:rPr>
          <w:bCs/>
          <w:sz w:val="26"/>
          <w:szCs w:val="24"/>
        </w:rPr>
        <w:t>DoD</w:t>
      </w:r>
      <w:proofErr w:type="gramEnd"/>
      <w:r w:rsidR="00EC7C4A" w:rsidRPr="00527619">
        <w:rPr>
          <w:bCs/>
          <w:sz w:val="26"/>
          <w:szCs w:val="24"/>
        </w:rPr>
        <w:t>,</w:t>
      </w:r>
      <w:r w:rsidRPr="00527619">
        <w:rPr>
          <w:bCs/>
          <w:sz w:val="26"/>
          <w:szCs w:val="24"/>
        </w:rPr>
        <w:t xml:space="preserve"> the Contractor will use the </w:t>
      </w:r>
      <w:proofErr w:type="spellStart"/>
      <w:r w:rsidRPr="00527619">
        <w:rPr>
          <w:bCs/>
          <w:sz w:val="26"/>
          <w:szCs w:val="24"/>
        </w:rPr>
        <w:t>Reparables</w:t>
      </w:r>
      <w:proofErr w:type="spellEnd"/>
      <w:r w:rsidRPr="00527619">
        <w:rPr>
          <w:bCs/>
          <w:sz w:val="26"/>
          <w:szCs w:val="24"/>
        </w:rPr>
        <w:t xml:space="preserve"> Receiving Report (RRR) capability in WAWF. The RRR allows the contractor to invoice for the repair </w:t>
      </w:r>
      <w:r w:rsidRPr="00527619">
        <w:rPr>
          <w:bCs/>
          <w:sz w:val="26"/>
          <w:szCs w:val="24"/>
          <w:u w:val="single"/>
        </w:rPr>
        <w:t>service</w:t>
      </w:r>
      <w:r w:rsidRPr="00527619">
        <w:rPr>
          <w:bCs/>
          <w:sz w:val="26"/>
          <w:szCs w:val="24"/>
        </w:rPr>
        <w:t xml:space="preserve"> and return the repaired </w:t>
      </w:r>
      <w:r w:rsidRPr="00527619">
        <w:rPr>
          <w:bCs/>
          <w:sz w:val="26"/>
          <w:szCs w:val="24"/>
          <w:u w:val="single"/>
        </w:rPr>
        <w:t>item</w:t>
      </w:r>
      <w:r w:rsidRPr="00527619">
        <w:rPr>
          <w:bCs/>
          <w:sz w:val="26"/>
          <w:szCs w:val="24"/>
        </w:rPr>
        <w:t xml:space="preserve">.  </w:t>
      </w:r>
      <w:r w:rsidR="00EC7C4A" w:rsidRPr="00527619">
        <w:rPr>
          <w:bCs/>
          <w:sz w:val="26"/>
          <w:szCs w:val="24"/>
        </w:rPr>
        <w:t>The Contractor may submit the data via the WAWF web interface or by a properly formatted electronic message. This pr</w:t>
      </w:r>
      <w:r w:rsidR="0078593E">
        <w:rPr>
          <w:bCs/>
          <w:sz w:val="26"/>
          <w:szCs w:val="24"/>
        </w:rPr>
        <w:t>ocess is illustrated in Figure 11</w:t>
      </w:r>
      <w:r w:rsidR="00EC7C4A" w:rsidRPr="00527619">
        <w:rPr>
          <w:bCs/>
          <w:sz w:val="26"/>
          <w:szCs w:val="24"/>
        </w:rPr>
        <w:t xml:space="preserve">. </w:t>
      </w:r>
      <w:r w:rsidR="00EC7C4A" w:rsidRPr="00527619">
        <w:rPr>
          <w:bCs/>
          <w:noProof/>
          <w:sz w:val="26"/>
          <w:szCs w:val="24"/>
        </w:rPr>
        <w:drawing>
          <wp:inline distT="0" distB="0" distL="0" distR="0">
            <wp:extent cx="4848225" cy="2361956"/>
            <wp:effectExtent l="19050" t="0" r="9525"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srcRect/>
                    <a:stretch>
                      <a:fillRect/>
                    </a:stretch>
                  </pic:blipFill>
                  <pic:spPr bwMode="auto">
                    <a:xfrm>
                      <a:off x="0" y="0"/>
                      <a:ext cx="4848225" cy="2361956"/>
                    </a:xfrm>
                    <a:prstGeom prst="rect">
                      <a:avLst/>
                    </a:prstGeom>
                    <a:noFill/>
                    <a:ln w="9525">
                      <a:noFill/>
                      <a:miter lim="800000"/>
                      <a:headEnd/>
                      <a:tailEnd/>
                    </a:ln>
                  </pic:spPr>
                </pic:pic>
              </a:graphicData>
            </a:graphic>
          </wp:inline>
        </w:drawing>
      </w:r>
    </w:p>
    <w:p w:rsidR="00E44150" w:rsidRPr="00527619" w:rsidRDefault="008B3B04" w:rsidP="008B3B04">
      <w:pPr>
        <w:pStyle w:val="Caption"/>
        <w:rPr>
          <w:bCs w:val="0"/>
          <w:sz w:val="26"/>
          <w:szCs w:val="24"/>
        </w:rPr>
      </w:pPr>
      <w:bookmarkStart w:id="41" w:name="_Toc327516073"/>
      <w:proofErr w:type="gramStart"/>
      <w:r>
        <w:t xml:space="preserve">Figure </w:t>
      </w:r>
      <w:r w:rsidR="00B65468">
        <w:fldChar w:fldCharType="begin"/>
      </w:r>
      <w:r w:rsidR="00011E69">
        <w:instrText xml:space="preserve"> SEQ Figure \* ARABIC </w:instrText>
      </w:r>
      <w:r w:rsidR="00B65468">
        <w:fldChar w:fldCharType="separate"/>
      </w:r>
      <w:r w:rsidR="00FF3108">
        <w:rPr>
          <w:noProof/>
        </w:rPr>
        <w:t>11</w:t>
      </w:r>
      <w:r w:rsidR="00B65468">
        <w:fldChar w:fldCharType="end"/>
      </w:r>
      <w:r>
        <w:t>.</w:t>
      </w:r>
      <w:proofErr w:type="gramEnd"/>
      <w:r>
        <w:t xml:space="preserve"> Contractor Submission of RRR</w:t>
      </w:r>
      <w:bookmarkEnd w:id="41"/>
    </w:p>
    <w:p w:rsidR="00643137" w:rsidRPr="00527619" w:rsidRDefault="00643137" w:rsidP="00527619">
      <w:pPr>
        <w:rPr>
          <w:bCs/>
          <w:sz w:val="26"/>
          <w:szCs w:val="24"/>
        </w:rPr>
      </w:pPr>
    </w:p>
    <w:p w:rsidR="00EC7C4A" w:rsidRPr="00527619" w:rsidRDefault="00EC7C4A" w:rsidP="00527619">
      <w:pPr>
        <w:rPr>
          <w:bCs/>
          <w:sz w:val="26"/>
          <w:szCs w:val="24"/>
        </w:rPr>
      </w:pPr>
      <w:r w:rsidRPr="00527619">
        <w:rPr>
          <w:bCs/>
          <w:sz w:val="26"/>
          <w:szCs w:val="24"/>
        </w:rPr>
        <w:t>When the DoD Acceptor accepts the service invoice, the repair items are removed from Contractor custody in the IUID and identified property sy</w:t>
      </w:r>
      <w:r w:rsidR="006772D2">
        <w:rPr>
          <w:bCs/>
          <w:sz w:val="26"/>
          <w:szCs w:val="24"/>
        </w:rPr>
        <w:t xml:space="preserve">stems as illustrated in Figure </w:t>
      </w:r>
      <w:r w:rsidR="0078593E">
        <w:rPr>
          <w:bCs/>
          <w:sz w:val="26"/>
          <w:szCs w:val="24"/>
        </w:rPr>
        <w:t>12</w:t>
      </w:r>
      <w:r w:rsidRPr="00527619">
        <w:rPr>
          <w:bCs/>
          <w:sz w:val="26"/>
          <w:szCs w:val="24"/>
        </w:rPr>
        <w:t>.</w:t>
      </w:r>
    </w:p>
    <w:p w:rsidR="0066753B" w:rsidRPr="00527619" w:rsidRDefault="0066753B" w:rsidP="00527619">
      <w:pPr>
        <w:rPr>
          <w:bCs/>
          <w:sz w:val="26"/>
          <w:szCs w:val="24"/>
        </w:rPr>
      </w:pPr>
    </w:p>
    <w:p w:rsidR="00EC7C4A" w:rsidRPr="00527619" w:rsidRDefault="00EC7C4A" w:rsidP="00527619">
      <w:r w:rsidRPr="00527619">
        <w:rPr>
          <w:bCs/>
          <w:noProof/>
          <w:sz w:val="26"/>
          <w:szCs w:val="24"/>
        </w:rPr>
        <w:drawing>
          <wp:inline distT="0" distB="0" distL="0" distR="0">
            <wp:extent cx="4903721" cy="2447925"/>
            <wp:effectExtent l="19050" t="0" r="0" b="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srcRect/>
                    <a:stretch>
                      <a:fillRect/>
                    </a:stretch>
                  </pic:blipFill>
                  <pic:spPr bwMode="auto">
                    <a:xfrm>
                      <a:off x="0" y="0"/>
                      <a:ext cx="4903721" cy="2447925"/>
                    </a:xfrm>
                    <a:prstGeom prst="rect">
                      <a:avLst/>
                    </a:prstGeom>
                    <a:noFill/>
                    <a:ln w="9525">
                      <a:noFill/>
                      <a:miter lim="800000"/>
                      <a:headEnd/>
                      <a:tailEnd/>
                    </a:ln>
                  </pic:spPr>
                </pic:pic>
              </a:graphicData>
            </a:graphic>
          </wp:inline>
        </w:drawing>
      </w:r>
    </w:p>
    <w:p w:rsidR="0066753B" w:rsidRPr="00527619" w:rsidRDefault="00EC7C4A" w:rsidP="00527619">
      <w:pPr>
        <w:rPr>
          <w:bCs/>
          <w:sz w:val="26"/>
          <w:szCs w:val="24"/>
        </w:rPr>
      </w:pPr>
      <w:bookmarkStart w:id="42" w:name="_Toc327516074"/>
      <w:proofErr w:type="gramStart"/>
      <w:r w:rsidRPr="00527619">
        <w:t xml:space="preserve">Figure </w:t>
      </w:r>
      <w:r w:rsidR="00B65468" w:rsidRPr="00527619">
        <w:fldChar w:fldCharType="begin"/>
      </w:r>
      <w:r w:rsidRPr="00527619">
        <w:instrText xml:space="preserve"> SEQ Figure \* ARABIC </w:instrText>
      </w:r>
      <w:r w:rsidR="00B65468" w:rsidRPr="00527619">
        <w:fldChar w:fldCharType="separate"/>
      </w:r>
      <w:r w:rsidR="00FF3108">
        <w:rPr>
          <w:noProof/>
        </w:rPr>
        <w:t>12</w:t>
      </w:r>
      <w:r w:rsidR="00B65468" w:rsidRPr="00527619">
        <w:fldChar w:fldCharType="end"/>
      </w:r>
      <w:r w:rsidRPr="00527619">
        <w:t>.</w:t>
      </w:r>
      <w:proofErr w:type="gramEnd"/>
      <w:r w:rsidRPr="00527619">
        <w:t xml:space="preserve"> GFP Return by acceptance of RRR</w:t>
      </w:r>
      <w:bookmarkEnd w:id="42"/>
    </w:p>
    <w:p w:rsidR="003361BD" w:rsidRDefault="003361BD" w:rsidP="00992CC1">
      <w:pPr>
        <w:pStyle w:val="Heading3"/>
        <w:rPr>
          <w:b w:val="0"/>
          <w:bCs/>
          <w:sz w:val="26"/>
          <w:szCs w:val="24"/>
        </w:rPr>
      </w:pPr>
    </w:p>
    <w:p w:rsidR="00527619" w:rsidRDefault="00527619" w:rsidP="00527619">
      <w:pPr>
        <w:pStyle w:val="Heading3"/>
        <w:rPr>
          <w:b w:val="0"/>
          <w:bCs/>
          <w:sz w:val="26"/>
          <w:szCs w:val="24"/>
        </w:rPr>
      </w:pPr>
      <w:bookmarkStart w:id="43" w:name="_Toc327516057"/>
      <w:r>
        <w:rPr>
          <w:b w:val="0"/>
          <w:bCs/>
          <w:sz w:val="26"/>
          <w:szCs w:val="24"/>
        </w:rPr>
        <w:t>3.5.</w:t>
      </w:r>
      <w:r w:rsidR="003D00E7">
        <w:rPr>
          <w:b w:val="0"/>
          <w:bCs/>
          <w:sz w:val="26"/>
          <w:szCs w:val="24"/>
        </w:rPr>
        <w:t>5</w:t>
      </w:r>
      <w:r w:rsidRPr="00E1332E">
        <w:rPr>
          <w:b w:val="0"/>
          <w:bCs/>
          <w:sz w:val="26"/>
          <w:szCs w:val="24"/>
        </w:rPr>
        <w:t xml:space="preserve"> </w:t>
      </w:r>
      <w:r>
        <w:rPr>
          <w:b w:val="0"/>
          <w:bCs/>
          <w:sz w:val="26"/>
          <w:szCs w:val="24"/>
        </w:rPr>
        <w:t xml:space="preserve">GFP Embedded in </w:t>
      </w:r>
      <w:proofErr w:type="spellStart"/>
      <w:r>
        <w:rPr>
          <w:b w:val="0"/>
          <w:bCs/>
          <w:sz w:val="26"/>
          <w:szCs w:val="24"/>
        </w:rPr>
        <w:t>Reparables</w:t>
      </w:r>
      <w:bookmarkEnd w:id="43"/>
      <w:proofErr w:type="spellEnd"/>
    </w:p>
    <w:p w:rsidR="00200FEE" w:rsidRDefault="00200FEE" w:rsidP="00B42C92">
      <w:pPr>
        <w:spacing w:before="0"/>
        <w:rPr>
          <w:bCs/>
          <w:sz w:val="26"/>
          <w:szCs w:val="24"/>
        </w:rPr>
      </w:pPr>
    </w:p>
    <w:p w:rsidR="00200FEE" w:rsidRDefault="00651633" w:rsidP="00B42C92">
      <w:pPr>
        <w:spacing w:before="0"/>
        <w:rPr>
          <w:bCs/>
          <w:sz w:val="26"/>
          <w:szCs w:val="24"/>
        </w:rPr>
      </w:pPr>
      <w:r>
        <w:rPr>
          <w:bCs/>
          <w:sz w:val="26"/>
          <w:szCs w:val="24"/>
        </w:rPr>
        <w:t>When subassemblies or components are provided as GFP to a Contractor which are then attached to or embedded in a higher assembly or end item that has itself been provided to the Contract as GFP to be repaired, the RRR is used to invoice for the service and deliver the GFP reparable and the embedded GFP if there is a single level of embedded GFP items. The p</w:t>
      </w:r>
      <w:r w:rsidR="0078593E">
        <w:rPr>
          <w:bCs/>
          <w:sz w:val="26"/>
          <w:szCs w:val="24"/>
        </w:rPr>
        <w:t>rocess is identical to Figures 9</w:t>
      </w:r>
      <w:r>
        <w:rPr>
          <w:bCs/>
          <w:sz w:val="26"/>
          <w:szCs w:val="24"/>
        </w:rPr>
        <w:t xml:space="preserve"> and </w:t>
      </w:r>
      <w:r w:rsidR="0078593E">
        <w:rPr>
          <w:bCs/>
          <w:sz w:val="26"/>
          <w:szCs w:val="24"/>
        </w:rPr>
        <w:t>10</w:t>
      </w:r>
      <w:r>
        <w:rPr>
          <w:bCs/>
          <w:sz w:val="26"/>
          <w:szCs w:val="24"/>
        </w:rPr>
        <w:t xml:space="preserve"> with the addition of the inclusion of embedded items identified to each delivered reparable.</w:t>
      </w:r>
      <w:r w:rsidR="007F79CE">
        <w:rPr>
          <w:bCs/>
          <w:sz w:val="26"/>
          <w:szCs w:val="24"/>
        </w:rPr>
        <w:t xml:space="preserve"> The reparable and the identified embedded </w:t>
      </w:r>
      <w:r w:rsidR="002E5B6A">
        <w:rPr>
          <w:bCs/>
          <w:sz w:val="26"/>
          <w:szCs w:val="24"/>
        </w:rPr>
        <w:t xml:space="preserve">GFP </w:t>
      </w:r>
      <w:r w:rsidR="007F79CE">
        <w:rPr>
          <w:bCs/>
          <w:sz w:val="26"/>
          <w:szCs w:val="24"/>
        </w:rPr>
        <w:t xml:space="preserve">items will be removed from contractor custody when the repair service is accepted by the DoD Acceptor. </w:t>
      </w:r>
      <w:r>
        <w:rPr>
          <w:bCs/>
          <w:sz w:val="26"/>
          <w:szCs w:val="24"/>
        </w:rPr>
        <w:t xml:space="preserve"> Note that the reparable</w:t>
      </w:r>
      <w:r w:rsidR="007F79CE">
        <w:rPr>
          <w:bCs/>
          <w:sz w:val="26"/>
          <w:szCs w:val="24"/>
        </w:rPr>
        <w:t xml:space="preserve"> UII</w:t>
      </w:r>
      <w:r>
        <w:rPr>
          <w:bCs/>
          <w:sz w:val="26"/>
          <w:szCs w:val="24"/>
        </w:rPr>
        <w:t xml:space="preserve"> and any embedded GFP UIIs must </w:t>
      </w:r>
      <w:r w:rsidR="002E5B6A">
        <w:rPr>
          <w:bCs/>
          <w:sz w:val="26"/>
          <w:szCs w:val="24"/>
        </w:rPr>
        <w:t xml:space="preserve">already </w:t>
      </w:r>
      <w:r>
        <w:rPr>
          <w:bCs/>
          <w:sz w:val="26"/>
          <w:szCs w:val="24"/>
        </w:rPr>
        <w:t xml:space="preserve">be </w:t>
      </w:r>
      <w:r w:rsidR="007F79CE">
        <w:rPr>
          <w:bCs/>
          <w:sz w:val="26"/>
          <w:szCs w:val="24"/>
        </w:rPr>
        <w:t xml:space="preserve">resident in the IUID Registry. The contractor may enter the data via the WAWF web interface or by submitting a properly formatted electronic message.  Note that new embedded </w:t>
      </w:r>
      <w:proofErr w:type="spellStart"/>
      <w:r w:rsidR="007F79CE">
        <w:rPr>
          <w:bCs/>
          <w:sz w:val="26"/>
          <w:szCs w:val="24"/>
        </w:rPr>
        <w:t>UII’d</w:t>
      </w:r>
      <w:proofErr w:type="spellEnd"/>
      <w:r w:rsidR="007F79CE">
        <w:rPr>
          <w:bCs/>
          <w:sz w:val="26"/>
          <w:szCs w:val="24"/>
        </w:rPr>
        <w:t xml:space="preserve"> </w:t>
      </w:r>
      <w:proofErr w:type="gramStart"/>
      <w:r w:rsidR="007F79CE">
        <w:rPr>
          <w:bCs/>
          <w:sz w:val="26"/>
          <w:szCs w:val="24"/>
        </w:rPr>
        <w:t>items</w:t>
      </w:r>
      <w:proofErr w:type="gramEnd"/>
      <w:r w:rsidR="007F79CE">
        <w:rPr>
          <w:bCs/>
          <w:sz w:val="26"/>
          <w:szCs w:val="24"/>
        </w:rPr>
        <w:t xml:space="preserve"> may also be submitted to the IUID Registry during this process.</w:t>
      </w:r>
    </w:p>
    <w:p w:rsidR="007F79CE" w:rsidRDefault="007F79CE" w:rsidP="00B42C92">
      <w:pPr>
        <w:spacing w:before="0"/>
        <w:rPr>
          <w:bCs/>
          <w:sz w:val="26"/>
          <w:szCs w:val="24"/>
        </w:rPr>
      </w:pPr>
    </w:p>
    <w:p w:rsidR="007F79CE" w:rsidRPr="002E5B6A" w:rsidRDefault="00E72917" w:rsidP="00B42C92">
      <w:pPr>
        <w:spacing w:before="0"/>
        <w:rPr>
          <w:bCs/>
          <w:sz w:val="26"/>
          <w:szCs w:val="24"/>
          <w:u w:val="single"/>
        </w:rPr>
      </w:pPr>
      <w:r w:rsidRPr="002E5B6A">
        <w:rPr>
          <w:bCs/>
          <w:sz w:val="26"/>
          <w:szCs w:val="24"/>
          <w:u w:val="single"/>
        </w:rPr>
        <w:t>Multiple Levels of GFP:</w:t>
      </w:r>
    </w:p>
    <w:p w:rsidR="00E72917" w:rsidRDefault="00E72917" w:rsidP="00B42C92">
      <w:pPr>
        <w:spacing w:before="0"/>
        <w:rPr>
          <w:bCs/>
          <w:sz w:val="26"/>
          <w:szCs w:val="24"/>
        </w:rPr>
      </w:pPr>
      <w:r>
        <w:rPr>
          <w:bCs/>
          <w:sz w:val="26"/>
          <w:szCs w:val="24"/>
        </w:rPr>
        <w:t>When a reparable has multiple level</w:t>
      </w:r>
      <w:r w:rsidR="002E5B6A">
        <w:rPr>
          <w:bCs/>
          <w:sz w:val="26"/>
          <w:szCs w:val="24"/>
        </w:rPr>
        <w:t>s</w:t>
      </w:r>
      <w:r>
        <w:rPr>
          <w:bCs/>
          <w:sz w:val="26"/>
          <w:szCs w:val="24"/>
        </w:rPr>
        <w:t xml:space="preserve"> of embedded GFP subassemblies or components that have been added to or removed from the repair item, the embedded item information is not added via the WAWF RRR. </w:t>
      </w:r>
      <w:r w:rsidR="002E5B6A">
        <w:rPr>
          <w:bCs/>
          <w:sz w:val="26"/>
          <w:szCs w:val="24"/>
        </w:rPr>
        <w:t>In this case, the reparable service and item is delivered via the RRR and separately the embedded item data is submitted to the IUID Registry either via the web interface or a properly formatted electronic message to the IUID Registry via GEX. Note that the embedded GFP items will be removed from contractor custody in the IUID Registry, but update of the custodianship of the embedded items in the property accountability system must be managed separately.</w:t>
      </w:r>
    </w:p>
    <w:p w:rsidR="00A67D5E" w:rsidRDefault="00A67D5E" w:rsidP="00B42C92">
      <w:pPr>
        <w:spacing w:before="0"/>
        <w:rPr>
          <w:bCs/>
          <w:sz w:val="26"/>
          <w:szCs w:val="24"/>
        </w:rPr>
      </w:pPr>
    </w:p>
    <w:p w:rsidR="00A67D5E" w:rsidRDefault="00A67D5E" w:rsidP="00B42C92">
      <w:pPr>
        <w:spacing w:before="0"/>
        <w:rPr>
          <w:bCs/>
          <w:sz w:val="26"/>
          <w:szCs w:val="24"/>
        </w:rPr>
      </w:pPr>
    </w:p>
    <w:p w:rsidR="00A67D5E" w:rsidRDefault="00A67D5E" w:rsidP="00B42C92">
      <w:pPr>
        <w:spacing w:before="0"/>
        <w:rPr>
          <w:bCs/>
          <w:sz w:val="26"/>
          <w:szCs w:val="24"/>
        </w:rPr>
      </w:pPr>
    </w:p>
    <w:p w:rsidR="00A67D5E" w:rsidRDefault="00A67D5E" w:rsidP="00B42C92">
      <w:pPr>
        <w:spacing w:before="0"/>
        <w:rPr>
          <w:bCs/>
          <w:sz w:val="26"/>
          <w:szCs w:val="24"/>
        </w:rPr>
      </w:pPr>
    </w:p>
    <w:p w:rsidR="00A67D5E" w:rsidRDefault="00923C81" w:rsidP="00923C81">
      <w:pPr>
        <w:pStyle w:val="Heading2"/>
        <w:rPr>
          <w:bCs w:val="0"/>
          <w:szCs w:val="24"/>
        </w:rPr>
      </w:pPr>
      <w:bookmarkStart w:id="44" w:name="_Toc327516058"/>
      <w:r>
        <w:rPr>
          <w:bCs w:val="0"/>
          <w:szCs w:val="24"/>
        </w:rPr>
        <w:t>3.6 GFP I</w:t>
      </w:r>
      <w:r w:rsidR="0059541D">
        <w:rPr>
          <w:bCs w:val="0"/>
          <w:szCs w:val="24"/>
        </w:rPr>
        <w:t xml:space="preserve">NCIDENT TO </w:t>
      </w:r>
      <w:proofErr w:type="gramStart"/>
      <w:r>
        <w:rPr>
          <w:bCs w:val="0"/>
          <w:szCs w:val="24"/>
        </w:rPr>
        <w:t>DoD</w:t>
      </w:r>
      <w:proofErr w:type="gramEnd"/>
      <w:r>
        <w:rPr>
          <w:bCs w:val="0"/>
          <w:szCs w:val="24"/>
        </w:rPr>
        <w:t xml:space="preserve"> S</w:t>
      </w:r>
      <w:r w:rsidR="0059541D">
        <w:rPr>
          <w:bCs w:val="0"/>
          <w:szCs w:val="24"/>
        </w:rPr>
        <w:t>UPPORT CONTRACTS</w:t>
      </w:r>
      <w:bookmarkEnd w:id="44"/>
    </w:p>
    <w:p w:rsidR="00A67D5E" w:rsidRDefault="00A67D5E" w:rsidP="00B42C92">
      <w:pPr>
        <w:spacing w:before="0"/>
        <w:rPr>
          <w:bCs/>
          <w:sz w:val="26"/>
          <w:szCs w:val="24"/>
        </w:rPr>
      </w:pPr>
    </w:p>
    <w:p w:rsidR="00A67D5E" w:rsidRDefault="00923C81" w:rsidP="00B42C92">
      <w:pPr>
        <w:spacing w:before="0"/>
        <w:rPr>
          <w:bCs/>
          <w:sz w:val="26"/>
          <w:szCs w:val="24"/>
        </w:rPr>
      </w:pPr>
      <w:r>
        <w:rPr>
          <w:bCs/>
          <w:sz w:val="26"/>
          <w:szCs w:val="24"/>
        </w:rPr>
        <w:t xml:space="preserve">In certain contractual relationships, the contractor provides a service to </w:t>
      </w:r>
      <w:proofErr w:type="gramStart"/>
      <w:r>
        <w:rPr>
          <w:bCs/>
          <w:sz w:val="26"/>
          <w:szCs w:val="24"/>
        </w:rPr>
        <w:t>DoD</w:t>
      </w:r>
      <w:proofErr w:type="gramEnd"/>
      <w:r>
        <w:rPr>
          <w:bCs/>
          <w:sz w:val="26"/>
          <w:szCs w:val="24"/>
        </w:rPr>
        <w:t xml:space="preserve"> that requires the contractor to hold, manage, or distribute government property. </w:t>
      </w:r>
      <w:r w:rsidR="000013C0">
        <w:rPr>
          <w:bCs/>
          <w:sz w:val="26"/>
          <w:szCs w:val="24"/>
        </w:rPr>
        <w:t xml:space="preserve">To meet the spirit and intent of the Financial Improvement and Auditability Readiness guidance, </w:t>
      </w:r>
      <w:r>
        <w:rPr>
          <w:bCs/>
          <w:sz w:val="26"/>
          <w:szCs w:val="24"/>
        </w:rPr>
        <w:t xml:space="preserve">the DoD Service Accountable Property System of Record (APSR) must </w:t>
      </w:r>
      <w:r w:rsidR="000013C0">
        <w:rPr>
          <w:bCs/>
          <w:sz w:val="26"/>
          <w:szCs w:val="24"/>
        </w:rPr>
        <w:t>have a record of DoD-owned assets including those items in the custody of a c</w:t>
      </w:r>
      <w:r>
        <w:rPr>
          <w:bCs/>
          <w:sz w:val="26"/>
          <w:szCs w:val="24"/>
        </w:rPr>
        <w:t xml:space="preserve">ontractor. </w:t>
      </w:r>
    </w:p>
    <w:p w:rsidR="00923C81" w:rsidRDefault="00923C81" w:rsidP="00B42C92">
      <w:pPr>
        <w:spacing w:before="0"/>
        <w:rPr>
          <w:bCs/>
          <w:sz w:val="26"/>
          <w:szCs w:val="24"/>
        </w:rPr>
      </w:pPr>
    </w:p>
    <w:p w:rsidR="00A67D5E" w:rsidRDefault="00923C81" w:rsidP="00B42C92">
      <w:pPr>
        <w:spacing w:before="0"/>
        <w:rPr>
          <w:bCs/>
          <w:sz w:val="26"/>
          <w:szCs w:val="24"/>
        </w:rPr>
      </w:pPr>
      <w:r>
        <w:rPr>
          <w:bCs/>
          <w:sz w:val="26"/>
          <w:szCs w:val="24"/>
        </w:rPr>
        <w:t xml:space="preserve">Where possible, transactions already flowing across the </w:t>
      </w:r>
      <w:proofErr w:type="gramStart"/>
      <w:r>
        <w:rPr>
          <w:bCs/>
          <w:sz w:val="26"/>
          <w:szCs w:val="24"/>
        </w:rPr>
        <w:t>DoD</w:t>
      </w:r>
      <w:proofErr w:type="gramEnd"/>
      <w:r>
        <w:rPr>
          <w:bCs/>
          <w:sz w:val="26"/>
          <w:szCs w:val="24"/>
        </w:rPr>
        <w:t xml:space="preserve"> Infrastructure will provide data to </w:t>
      </w:r>
      <w:r w:rsidR="000013C0">
        <w:rPr>
          <w:bCs/>
          <w:sz w:val="26"/>
          <w:szCs w:val="24"/>
        </w:rPr>
        <w:t xml:space="preserve">update </w:t>
      </w:r>
      <w:r>
        <w:rPr>
          <w:bCs/>
          <w:sz w:val="26"/>
          <w:szCs w:val="24"/>
        </w:rPr>
        <w:t xml:space="preserve">the </w:t>
      </w:r>
      <w:r w:rsidR="00847176">
        <w:rPr>
          <w:bCs/>
          <w:sz w:val="26"/>
          <w:szCs w:val="24"/>
        </w:rPr>
        <w:t xml:space="preserve">APSR. Use of these transactions will occur primarily in situations where Contractor Inventory Control Point (C-ICP) services are provided. In C-ICP cases, the transactions will mimic those of the </w:t>
      </w:r>
      <w:proofErr w:type="gramStart"/>
      <w:r w:rsidR="00847176">
        <w:rPr>
          <w:bCs/>
          <w:sz w:val="26"/>
          <w:szCs w:val="24"/>
        </w:rPr>
        <w:t>DoD</w:t>
      </w:r>
      <w:proofErr w:type="gramEnd"/>
      <w:r w:rsidR="00847176">
        <w:rPr>
          <w:bCs/>
          <w:sz w:val="26"/>
          <w:szCs w:val="24"/>
        </w:rPr>
        <w:t xml:space="preserve"> Supply system, but specific data elements within the message will flag it as a message documenting input to or decrement from the GFP position held at a contractor site.</w:t>
      </w:r>
    </w:p>
    <w:p w:rsidR="00847176" w:rsidRDefault="00847176" w:rsidP="00B42C92">
      <w:pPr>
        <w:spacing w:before="0"/>
        <w:rPr>
          <w:bCs/>
          <w:sz w:val="26"/>
          <w:szCs w:val="24"/>
        </w:rPr>
      </w:pPr>
    </w:p>
    <w:p w:rsidR="00847176" w:rsidRDefault="00847176" w:rsidP="00B42C92">
      <w:pPr>
        <w:spacing w:before="0"/>
        <w:rPr>
          <w:bCs/>
          <w:sz w:val="26"/>
          <w:szCs w:val="24"/>
        </w:rPr>
      </w:pPr>
      <w:r>
        <w:rPr>
          <w:bCs/>
          <w:sz w:val="26"/>
          <w:szCs w:val="24"/>
        </w:rPr>
        <w:t xml:space="preserve">In other situations, such as those where the Contractor is providing modification services, </w:t>
      </w:r>
      <w:r w:rsidR="00FF3108">
        <w:rPr>
          <w:bCs/>
          <w:sz w:val="26"/>
          <w:szCs w:val="24"/>
        </w:rPr>
        <w:t>the APSR will be updated as items are provided to the Service. Additional guidance may be necessary to establish processes for additional visibility. The general message</w:t>
      </w:r>
      <w:r w:rsidR="0078593E">
        <w:rPr>
          <w:bCs/>
          <w:sz w:val="26"/>
          <w:szCs w:val="24"/>
        </w:rPr>
        <w:t xml:space="preserve"> flow is illustrated in Figure 13</w:t>
      </w:r>
      <w:r w:rsidR="00FF3108">
        <w:rPr>
          <w:bCs/>
          <w:sz w:val="26"/>
          <w:szCs w:val="24"/>
        </w:rPr>
        <w:t xml:space="preserve">. </w:t>
      </w:r>
    </w:p>
    <w:p w:rsidR="00A67D5E" w:rsidRDefault="00A67D5E" w:rsidP="00B42C92">
      <w:pPr>
        <w:spacing w:before="0"/>
        <w:rPr>
          <w:bCs/>
          <w:sz w:val="26"/>
          <w:szCs w:val="24"/>
        </w:rPr>
      </w:pPr>
    </w:p>
    <w:p w:rsidR="00A67D5E" w:rsidRDefault="00A67D5E" w:rsidP="00B42C92">
      <w:pPr>
        <w:spacing w:before="0"/>
        <w:rPr>
          <w:bCs/>
          <w:sz w:val="26"/>
          <w:szCs w:val="24"/>
        </w:rPr>
      </w:pPr>
    </w:p>
    <w:p w:rsidR="00FF3108" w:rsidRDefault="00FF3108" w:rsidP="00FF3108">
      <w:pPr>
        <w:keepNext/>
        <w:spacing w:before="0"/>
      </w:pPr>
      <w:r>
        <w:rPr>
          <w:b/>
          <w:bCs/>
          <w:noProof/>
          <w:sz w:val="26"/>
          <w:szCs w:val="24"/>
        </w:rPr>
        <w:drawing>
          <wp:inline distT="0" distB="0" distL="0" distR="0">
            <wp:extent cx="4686708" cy="3686175"/>
            <wp:effectExtent l="19050" t="0" r="0"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srcRect/>
                    <a:stretch>
                      <a:fillRect/>
                    </a:stretch>
                  </pic:blipFill>
                  <pic:spPr bwMode="auto">
                    <a:xfrm>
                      <a:off x="0" y="0"/>
                      <a:ext cx="4686708" cy="3686175"/>
                    </a:xfrm>
                    <a:prstGeom prst="rect">
                      <a:avLst/>
                    </a:prstGeom>
                    <a:noFill/>
                    <a:ln w="9525">
                      <a:noFill/>
                      <a:miter lim="800000"/>
                      <a:headEnd/>
                      <a:tailEnd/>
                    </a:ln>
                  </pic:spPr>
                </pic:pic>
              </a:graphicData>
            </a:graphic>
          </wp:inline>
        </w:drawing>
      </w:r>
    </w:p>
    <w:p w:rsidR="00A67D5E" w:rsidRPr="00FF3108" w:rsidRDefault="00FF3108" w:rsidP="00FF3108">
      <w:pPr>
        <w:pStyle w:val="Caption"/>
        <w:rPr>
          <w:b w:val="0"/>
          <w:bCs w:val="0"/>
          <w:sz w:val="26"/>
          <w:szCs w:val="24"/>
        </w:rPr>
      </w:pPr>
      <w:bookmarkStart w:id="45" w:name="_Toc327516075"/>
      <w:proofErr w:type="gramStart"/>
      <w:r>
        <w:t xml:space="preserve">Figure </w:t>
      </w:r>
      <w:r w:rsidR="00DE56EA">
        <w:fldChar w:fldCharType="begin"/>
      </w:r>
      <w:r w:rsidR="00DE56EA">
        <w:instrText xml:space="preserve"> SEQ Figure \* ARABIC </w:instrText>
      </w:r>
      <w:r w:rsidR="00DE56EA">
        <w:fldChar w:fldCharType="separate"/>
      </w:r>
      <w:r>
        <w:rPr>
          <w:noProof/>
        </w:rPr>
        <w:t>13</w:t>
      </w:r>
      <w:r w:rsidR="00DE56EA">
        <w:rPr>
          <w:noProof/>
        </w:rPr>
        <w:fldChar w:fldCharType="end"/>
      </w:r>
      <w:r>
        <w:t>.</w:t>
      </w:r>
      <w:proofErr w:type="gramEnd"/>
      <w:r>
        <w:t xml:space="preserve"> GFP Incident to Support Contract</w:t>
      </w:r>
      <w:bookmarkEnd w:id="45"/>
    </w:p>
    <w:p w:rsidR="00A67D5E" w:rsidRDefault="00A67D5E" w:rsidP="00B42C92">
      <w:pPr>
        <w:spacing w:before="0"/>
        <w:rPr>
          <w:bCs/>
          <w:sz w:val="26"/>
          <w:szCs w:val="24"/>
        </w:rPr>
      </w:pPr>
    </w:p>
    <w:p w:rsidR="00A67D5E" w:rsidRDefault="00A67D5E" w:rsidP="00B42C92">
      <w:pPr>
        <w:spacing w:before="0"/>
        <w:rPr>
          <w:bCs/>
          <w:sz w:val="26"/>
          <w:szCs w:val="24"/>
        </w:rPr>
      </w:pPr>
    </w:p>
    <w:p w:rsidR="00C80438" w:rsidRDefault="00C80438" w:rsidP="003B4D20">
      <w:pPr>
        <w:spacing w:before="0"/>
        <w:rPr>
          <w:b/>
          <w:bCs/>
          <w:sz w:val="26"/>
          <w:szCs w:val="24"/>
        </w:rPr>
      </w:pPr>
    </w:p>
    <w:p w:rsidR="00E1475F" w:rsidRPr="00E1475F" w:rsidRDefault="00E1475F" w:rsidP="003B4D20">
      <w:pPr>
        <w:spacing w:before="0"/>
        <w:rPr>
          <w:b/>
          <w:bCs/>
          <w:sz w:val="26"/>
          <w:szCs w:val="24"/>
        </w:rPr>
      </w:pPr>
    </w:p>
    <w:p w:rsidR="00A55278" w:rsidRDefault="00A55278" w:rsidP="00A55278">
      <w:pPr>
        <w:widowControl w:val="0"/>
        <w:jc w:val="center"/>
        <w:sectPr w:rsidR="00A55278" w:rsidSect="00A55278">
          <w:headerReference w:type="even" r:id="rId29"/>
          <w:headerReference w:type="default" r:id="rId30"/>
          <w:footerReference w:type="even" r:id="rId31"/>
          <w:footnotePr>
            <w:numStart w:val="0"/>
          </w:footnotePr>
          <w:pgSz w:w="12240" w:h="15840" w:code="1"/>
          <w:pgMar w:top="720" w:right="1440" w:bottom="720" w:left="1440" w:header="634" w:footer="634" w:gutter="0"/>
          <w:cols w:space="720"/>
        </w:sectPr>
      </w:pPr>
    </w:p>
    <w:p w:rsidR="00A55278" w:rsidRPr="001769E6" w:rsidRDefault="00190C58" w:rsidP="00A55278">
      <w:pPr>
        <w:outlineLvl w:val="0"/>
        <w:rPr>
          <w:b/>
          <w:sz w:val="32"/>
          <w:szCs w:val="32"/>
        </w:rPr>
      </w:pPr>
      <w:bookmarkStart w:id="46" w:name="_Toc224467414"/>
      <w:bookmarkStart w:id="47" w:name="_Toc224534151"/>
      <w:bookmarkStart w:id="48" w:name="_Toc327516059"/>
      <w:r w:rsidRPr="001769E6">
        <w:rPr>
          <w:b/>
          <w:sz w:val="32"/>
          <w:szCs w:val="32"/>
        </w:rPr>
        <w:t>APPENDIX A – REFERENCE DOCUMENTS</w:t>
      </w:r>
      <w:bookmarkEnd w:id="46"/>
      <w:bookmarkEnd w:id="47"/>
      <w:bookmarkEnd w:id="48"/>
    </w:p>
    <w:p w:rsidR="00A55278" w:rsidRDefault="00A55278" w:rsidP="00A55278">
      <w:pPr>
        <w:widowControl w:val="0"/>
      </w:pPr>
    </w:p>
    <w:p w:rsidR="00A55278" w:rsidRDefault="00A55278" w:rsidP="00A55278">
      <w:pPr>
        <w:autoSpaceDE w:val="0"/>
        <w:autoSpaceDN w:val="0"/>
        <w:adjustRightInd w:val="0"/>
        <w:spacing w:before="0"/>
        <w:rPr>
          <w:sz w:val="27"/>
          <w:szCs w:val="27"/>
        </w:rPr>
      </w:pPr>
      <w:r>
        <w:t xml:space="preserve">a. OUSD </w:t>
      </w:r>
      <w:r w:rsidRPr="00862A63">
        <w:rPr>
          <w:szCs w:val="24"/>
        </w:rPr>
        <w:t>(AT&amp;L)</w:t>
      </w:r>
      <w:r>
        <w:rPr>
          <w:szCs w:val="24"/>
        </w:rPr>
        <w:t xml:space="preserve"> “</w:t>
      </w:r>
      <w:r w:rsidRPr="00862A63">
        <w:rPr>
          <w:szCs w:val="24"/>
        </w:rPr>
        <w:t>Policy Update for Item Unique Identification (IUID) of Tangible Personal</w:t>
      </w:r>
      <w:r>
        <w:rPr>
          <w:szCs w:val="24"/>
        </w:rPr>
        <w:t xml:space="preserve"> Property</w:t>
      </w:r>
      <w:proofErr w:type="gramStart"/>
      <w:r>
        <w:rPr>
          <w:szCs w:val="24"/>
        </w:rPr>
        <w:t>”</w:t>
      </w:r>
      <w:r w:rsidRPr="00862A63">
        <w:rPr>
          <w:szCs w:val="24"/>
        </w:rPr>
        <w:t xml:space="preserve">  dated</w:t>
      </w:r>
      <w:proofErr w:type="gramEnd"/>
      <w:r w:rsidRPr="00862A63">
        <w:rPr>
          <w:szCs w:val="24"/>
        </w:rPr>
        <w:t xml:space="preserve"> 06 February 2007</w:t>
      </w:r>
    </w:p>
    <w:p w:rsidR="00A55278" w:rsidRDefault="003D00E7" w:rsidP="0085749D">
      <w:r>
        <w:t>b</w:t>
      </w:r>
      <w:r w:rsidR="00A55278">
        <w:t xml:space="preserve">.   “Department of Defense Guide to Uniquely Identifying Items, </w:t>
      </w:r>
      <w:r w:rsidR="00A55278" w:rsidRPr="00221A51">
        <w:rPr>
          <w:szCs w:val="24"/>
        </w:rPr>
        <w:t>Assuring Valuation, Accountability and</w:t>
      </w:r>
      <w:r w:rsidR="00A55278">
        <w:rPr>
          <w:szCs w:val="24"/>
        </w:rPr>
        <w:t xml:space="preserve"> </w:t>
      </w:r>
      <w:r w:rsidR="00A55278" w:rsidRPr="00221A51">
        <w:rPr>
          <w:szCs w:val="24"/>
        </w:rPr>
        <w:t xml:space="preserve">Control of </w:t>
      </w:r>
      <w:r w:rsidR="004002E7">
        <w:rPr>
          <w:szCs w:val="24"/>
        </w:rPr>
        <w:t>Government</w:t>
      </w:r>
      <w:r w:rsidR="00A55278" w:rsidRPr="00221A51">
        <w:rPr>
          <w:szCs w:val="24"/>
        </w:rPr>
        <w:t xml:space="preserve"> Property</w:t>
      </w:r>
      <w:r w:rsidR="00A55278">
        <w:t xml:space="preserve">”, Version 2.0, October 1, 2008 </w:t>
      </w:r>
    </w:p>
    <w:p w:rsidR="00F20DEE" w:rsidRDefault="00F20DEE" w:rsidP="0085749D">
      <w:proofErr w:type="gramStart"/>
      <w:r>
        <w:t>c</w:t>
      </w:r>
      <w:proofErr w:type="gramEnd"/>
      <w:r>
        <w:t xml:space="preserve">. </w:t>
      </w:r>
      <w:proofErr w:type="spellStart"/>
      <w:r>
        <w:t>DoDI</w:t>
      </w:r>
      <w:proofErr w:type="spellEnd"/>
      <w:r>
        <w:t xml:space="preserve"> 8320.04, Item Unique Identification (IUID) Standards for</w:t>
      </w:r>
      <w:r>
        <w:br/>
        <w:t>Tangible Personal Property, 16 June 2008</w:t>
      </w:r>
    </w:p>
    <w:p w:rsidR="00C34138" w:rsidRDefault="00C34138" w:rsidP="0085749D">
      <w:r>
        <w:t xml:space="preserve">d. DFARs Procedures, Guidance, and Information 245.201-71 GFP Attachments to Solicitations and Awards, 16 August 2010. </w:t>
      </w:r>
      <w:hyperlink r:id="rId32" w:history="1">
        <w:r w:rsidR="00393C8D" w:rsidRPr="003B23C7">
          <w:rPr>
            <w:rStyle w:val="Hyperlink"/>
          </w:rPr>
          <w:t>http://www.acq.osd.mil/dpap/dars/pgi/pgi_pdf/PGI245_2.pdf</w:t>
        </w:r>
      </w:hyperlink>
    </w:p>
    <w:p w:rsidR="00393C8D" w:rsidRPr="00393C8D" w:rsidRDefault="00393C8D" w:rsidP="0085749D">
      <w:r>
        <w:t xml:space="preserve">e. DFARs Procedures, Guidance, and Information </w:t>
      </w:r>
      <w:r w:rsidRPr="00393C8D">
        <w:rPr>
          <w:bCs/>
        </w:rPr>
        <w:t>245.</w:t>
      </w:r>
      <w:r w:rsidR="00D57894">
        <w:rPr>
          <w:bCs/>
        </w:rPr>
        <w:t>103-71 Transferring Government Property A</w:t>
      </w:r>
      <w:r w:rsidRPr="00393C8D">
        <w:rPr>
          <w:bCs/>
        </w:rPr>
        <w:t>ccountability</w:t>
      </w:r>
      <w:r w:rsidR="00D57894">
        <w:rPr>
          <w:bCs/>
        </w:rPr>
        <w:t>, 18 May 2010</w:t>
      </w:r>
      <w:r w:rsidRPr="00393C8D">
        <w:rPr>
          <w:bCs/>
        </w:rPr>
        <w:t>.</w:t>
      </w:r>
      <w:r>
        <w:rPr>
          <w:bCs/>
        </w:rPr>
        <w:t xml:space="preserve"> </w:t>
      </w:r>
      <w:r w:rsidRPr="00393C8D">
        <w:rPr>
          <w:bCs/>
        </w:rPr>
        <w:t>http://www.acq.osd.mil/dpap/dars/pgi/pgi_pdf/PGI245_1.pdf</w:t>
      </w:r>
    </w:p>
    <w:p w:rsidR="00F20DEE" w:rsidRDefault="00F20DEE" w:rsidP="0085749D">
      <w:r>
        <w:t xml:space="preserve">d. </w:t>
      </w:r>
      <w:proofErr w:type="spellStart"/>
      <w:r>
        <w:t>DoDI</w:t>
      </w:r>
      <w:proofErr w:type="spellEnd"/>
      <w:r>
        <w:t xml:space="preserve"> 5000.64, </w:t>
      </w:r>
      <w:r w:rsidR="00F13399">
        <w:t xml:space="preserve">Accountability and Management of </w:t>
      </w:r>
      <w:proofErr w:type="gramStart"/>
      <w:r w:rsidR="00F13399">
        <w:t>DoD</w:t>
      </w:r>
      <w:proofErr w:type="gramEnd"/>
      <w:r w:rsidR="00F13399">
        <w:t xml:space="preserve"> Equipment and Other Accountable Property, </w:t>
      </w:r>
      <w:r w:rsidR="000839DF">
        <w:t xml:space="preserve">19 </w:t>
      </w:r>
      <w:r w:rsidR="00F13399">
        <w:t>May 2011</w:t>
      </w:r>
    </w:p>
    <w:p w:rsidR="00A3575B" w:rsidRDefault="00A3575B" w:rsidP="00A55278">
      <w:pPr>
        <w:pStyle w:val="Style3"/>
      </w:pPr>
    </w:p>
    <w:p w:rsidR="00A55278" w:rsidRDefault="00A3575B" w:rsidP="00A55278">
      <w:pPr>
        <w:pStyle w:val="Style3"/>
      </w:pPr>
      <w:proofErr w:type="gramStart"/>
      <w:r>
        <w:t>e</w:t>
      </w:r>
      <w:proofErr w:type="gramEnd"/>
      <w:r w:rsidR="00A55278" w:rsidRPr="00917B96">
        <w:t>. Military Standard 130, “Standard Practice for Identification Marking of</w:t>
      </w:r>
      <w:r w:rsidR="00A55278">
        <w:t xml:space="preserve"> </w:t>
      </w:r>
      <w:r w:rsidR="00A55278" w:rsidRPr="00917B96">
        <w:t>U. S. Military Property, latest version</w:t>
      </w:r>
      <w:r w:rsidR="00A55278" w:rsidRPr="00C13912">
        <w:t>.</w:t>
      </w:r>
    </w:p>
    <w:p w:rsidR="00A55278" w:rsidRDefault="00A55278" w:rsidP="00A55278">
      <w:pPr>
        <w:pStyle w:val="Style3"/>
      </w:pPr>
    </w:p>
    <w:p w:rsidR="00A55278" w:rsidRDefault="00A3575B" w:rsidP="00A55278">
      <w:pPr>
        <w:pStyle w:val="Style3"/>
      </w:pPr>
      <w:r>
        <w:t>f</w:t>
      </w:r>
      <w:r w:rsidR="00A55278" w:rsidRPr="00917B96">
        <w:t>. DFARS 252.211-7003, “Item Unique Identification and Valuation”</w:t>
      </w:r>
      <w:r w:rsidR="00A55278">
        <w:t xml:space="preserve">   </w:t>
      </w:r>
    </w:p>
    <w:p w:rsidR="00A3575B" w:rsidRDefault="00A3575B" w:rsidP="00A55278">
      <w:pPr>
        <w:pStyle w:val="Style3"/>
      </w:pPr>
    </w:p>
    <w:p w:rsidR="003D00E7" w:rsidRDefault="00A3575B" w:rsidP="00A55278">
      <w:pPr>
        <w:pStyle w:val="Style3"/>
      </w:pPr>
      <w:r>
        <w:t>g</w:t>
      </w:r>
      <w:r w:rsidR="003D00E7">
        <w:t xml:space="preserve">. DFARS 252.211-7007, “Reporting of Government-Furnished Equipment in the </w:t>
      </w:r>
      <w:proofErr w:type="gramStart"/>
      <w:r w:rsidR="003D00E7">
        <w:t>DoD</w:t>
      </w:r>
      <w:proofErr w:type="gramEnd"/>
      <w:r w:rsidR="003D00E7">
        <w:t xml:space="preserve"> Item Unique Identification (IUID) Registry”</w:t>
      </w:r>
    </w:p>
    <w:p w:rsidR="004C6785" w:rsidRDefault="004C6785" w:rsidP="00A55278">
      <w:pPr>
        <w:pStyle w:val="Style3"/>
      </w:pPr>
    </w:p>
    <w:p w:rsidR="00A3575B" w:rsidRDefault="00A3575B" w:rsidP="00F20DEE">
      <w:pPr>
        <w:autoSpaceDE w:val="0"/>
        <w:autoSpaceDN w:val="0"/>
        <w:adjustRightInd w:val="0"/>
        <w:spacing w:before="0"/>
      </w:pPr>
    </w:p>
    <w:p w:rsidR="00A3575B" w:rsidRDefault="00A3575B" w:rsidP="00F20DEE">
      <w:pPr>
        <w:autoSpaceDE w:val="0"/>
        <w:autoSpaceDN w:val="0"/>
        <w:adjustRightInd w:val="0"/>
        <w:spacing w:before="0"/>
      </w:pPr>
    </w:p>
    <w:p w:rsidR="00A55278" w:rsidRDefault="00A55278" w:rsidP="00A55278">
      <w:pPr>
        <w:widowControl w:val="0"/>
      </w:pPr>
    </w:p>
    <w:p w:rsidR="00A55278" w:rsidRPr="001769E6" w:rsidRDefault="00A55278" w:rsidP="00A55278">
      <w:pPr>
        <w:widowControl w:val="0"/>
      </w:pPr>
    </w:p>
    <w:p w:rsidR="00CF2940" w:rsidRDefault="00CF2940">
      <w:pPr>
        <w:spacing w:before="0"/>
      </w:pPr>
      <w:r>
        <w:br w:type="page"/>
      </w:r>
    </w:p>
    <w:p w:rsidR="00F570AF" w:rsidRDefault="00F570AF" w:rsidP="00F570AF">
      <w:pPr>
        <w:spacing w:before="0"/>
        <w:sectPr w:rsidR="00F570AF" w:rsidSect="004D2FCF">
          <w:footerReference w:type="default" r:id="rId33"/>
          <w:footnotePr>
            <w:numStart w:val="0"/>
          </w:footnotePr>
          <w:pgSz w:w="12240" w:h="15840" w:code="1"/>
          <w:pgMar w:top="720" w:right="1440" w:bottom="720" w:left="1440" w:header="634" w:footer="634" w:gutter="0"/>
          <w:pgNumType w:start="1" w:chapStyle="1"/>
          <w:cols w:space="720"/>
        </w:sectPr>
      </w:pPr>
    </w:p>
    <w:p w:rsidR="00515EBA" w:rsidRPr="0059541D" w:rsidRDefault="0059541D" w:rsidP="0059541D">
      <w:pPr>
        <w:pStyle w:val="Heading1"/>
        <w:rPr>
          <w:b w:val="0"/>
        </w:rPr>
      </w:pPr>
      <w:bookmarkStart w:id="49" w:name="_Toc327516060"/>
      <w:r>
        <w:rPr>
          <w:b w:val="0"/>
        </w:rPr>
        <w:t>APPENDIX</w:t>
      </w:r>
      <w:r w:rsidR="00F570AF" w:rsidRPr="0059541D">
        <w:rPr>
          <w:b w:val="0"/>
        </w:rPr>
        <w:t xml:space="preserve"> B – Fillable Adobe GFP Authorization Forms</w:t>
      </w:r>
      <w:bookmarkEnd w:id="49"/>
    </w:p>
    <w:p w:rsidR="00F570AF" w:rsidRDefault="00F570AF" w:rsidP="00F570AF">
      <w:pPr>
        <w:spacing w:before="0"/>
      </w:pPr>
    </w:p>
    <w:p w:rsidR="00F570AF" w:rsidRDefault="00F570AF" w:rsidP="00F570AF">
      <w:pPr>
        <w:spacing w:before="0"/>
      </w:pPr>
    </w:p>
    <w:p w:rsidR="00F570AF" w:rsidRDefault="00F570AF" w:rsidP="00F570AF">
      <w:pPr>
        <w:spacing w:before="0"/>
      </w:pPr>
      <w:r>
        <w:t>Scheduled GFP:</w:t>
      </w:r>
    </w:p>
    <w:p w:rsidR="00F570AF" w:rsidRDefault="00F570AF" w:rsidP="00F570AF">
      <w:pPr>
        <w:spacing w:before="0"/>
      </w:pPr>
      <w:r>
        <w:rPr>
          <w:noProof/>
        </w:rPr>
        <w:drawing>
          <wp:inline distT="0" distB="0" distL="0" distR="0">
            <wp:extent cx="8248650" cy="477202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8248650" cy="4772025"/>
                    </a:xfrm>
                    <a:prstGeom prst="rect">
                      <a:avLst/>
                    </a:prstGeom>
                    <a:noFill/>
                    <a:ln w="9525">
                      <a:noFill/>
                      <a:miter lim="800000"/>
                      <a:headEnd/>
                      <a:tailEnd/>
                    </a:ln>
                  </pic:spPr>
                </pic:pic>
              </a:graphicData>
            </a:graphic>
          </wp:inline>
        </w:drawing>
      </w:r>
    </w:p>
    <w:p w:rsidR="00F570AF" w:rsidRDefault="00F570AF">
      <w:pPr>
        <w:spacing w:before="0"/>
      </w:pPr>
      <w:r>
        <w:br w:type="page"/>
      </w:r>
    </w:p>
    <w:p w:rsidR="00F570AF" w:rsidRDefault="00F570AF" w:rsidP="00F570AF">
      <w:pPr>
        <w:spacing w:before="0"/>
      </w:pPr>
      <w:r>
        <w:t>Requisitioned GFP:</w:t>
      </w:r>
    </w:p>
    <w:p w:rsidR="00F570AF" w:rsidRDefault="00F570AF" w:rsidP="00F570AF">
      <w:pPr>
        <w:spacing w:before="0"/>
      </w:pPr>
    </w:p>
    <w:p w:rsidR="00F570AF" w:rsidRDefault="00F570AF" w:rsidP="00F570AF">
      <w:pPr>
        <w:spacing w:before="0"/>
      </w:pPr>
    </w:p>
    <w:p w:rsidR="00F570AF" w:rsidRDefault="00F570AF" w:rsidP="00F570AF">
      <w:pPr>
        <w:spacing w:before="0"/>
        <w:sectPr w:rsidR="00F570AF" w:rsidSect="00F570AF">
          <w:footnotePr>
            <w:numStart w:val="0"/>
          </w:footnotePr>
          <w:pgSz w:w="15840" w:h="12240" w:orient="landscape" w:code="1"/>
          <w:pgMar w:top="1440" w:right="720" w:bottom="1440" w:left="720" w:header="634" w:footer="634" w:gutter="0"/>
          <w:pgNumType w:start="1" w:chapStyle="1"/>
          <w:cols w:space="720"/>
          <w:docGrid w:linePitch="326"/>
        </w:sectPr>
      </w:pPr>
      <w:r w:rsidRPr="00F570AF">
        <w:rPr>
          <w:noProof/>
        </w:rPr>
        <w:drawing>
          <wp:inline distT="0" distB="0" distL="0" distR="0">
            <wp:extent cx="8334375" cy="49530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8334375" cy="4953000"/>
                    </a:xfrm>
                    <a:prstGeom prst="rect">
                      <a:avLst/>
                    </a:prstGeom>
                    <a:noFill/>
                    <a:ln w="9525">
                      <a:noFill/>
                      <a:miter lim="800000"/>
                      <a:headEnd/>
                      <a:tailEnd/>
                    </a:ln>
                  </pic:spPr>
                </pic:pic>
              </a:graphicData>
            </a:graphic>
          </wp:inline>
        </w:drawing>
      </w:r>
    </w:p>
    <w:p w:rsidR="00310A80" w:rsidRDefault="00310A80" w:rsidP="0059541D">
      <w:pPr>
        <w:pStyle w:val="Heading1"/>
        <w:rPr>
          <w:b w:val="0"/>
        </w:rPr>
      </w:pPr>
      <w:bookmarkStart w:id="50" w:name="_Toc327516061"/>
      <w:r>
        <w:rPr>
          <w:b w:val="0"/>
        </w:rPr>
        <w:t>APPENDIX C – WAWF Electronic Message Structure</w:t>
      </w:r>
      <w:bookmarkEnd w:id="50"/>
      <w:r>
        <w:rPr>
          <w:b w:val="0"/>
        </w:rPr>
        <w:t xml:space="preserve"> </w:t>
      </w:r>
    </w:p>
    <w:p w:rsidR="00310A80" w:rsidRDefault="00310A80">
      <w:pPr>
        <w:spacing w:before="0"/>
        <w:rPr>
          <w:b/>
          <w:sz w:val="32"/>
          <w:szCs w:val="32"/>
        </w:rPr>
      </w:pPr>
    </w:p>
    <w:p w:rsidR="00310A80" w:rsidRDefault="00310A80">
      <w:pPr>
        <w:spacing w:before="0"/>
        <w:rPr>
          <w:szCs w:val="24"/>
        </w:rPr>
      </w:pPr>
      <w:r>
        <w:rPr>
          <w:szCs w:val="24"/>
        </w:rPr>
        <w:t>WAWF can receive properly formatted messages in either Electronic Document Interchange (EDI) format via the Global Exchange Services (GEX) or in Flat File format via File Transfer Protocol directly to WAWF.</w:t>
      </w:r>
    </w:p>
    <w:p w:rsidR="00310A80" w:rsidRDefault="00310A80">
      <w:pPr>
        <w:spacing w:before="0"/>
        <w:rPr>
          <w:szCs w:val="24"/>
        </w:rPr>
      </w:pPr>
    </w:p>
    <w:p w:rsidR="00C90C76" w:rsidRDefault="00310A80">
      <w:pPr>
        <w:spacing w:before="0"/>
        <w:rPr>
          <w:szCs w:val="24"/>
        </w:rPr>
      </w:pPr>
      <w:r>
        <w:rPr>
          <w:szCs w:val="24"/>
        </w:rPr>
        <w:t xml:space="preserve">To access the message structure definitions, </w:t>
      </w:r>
      <w:r w:rsidR="00C90C76">
        <w:rPr>
          <w:szCs w:val="24"/>
        </w:rPr>
        <w:t>follow these instructions:</w:t>
      </w:r>
    </w:p>
    <w:p w:rsidR="00C90C76" w:rsidRDefault="00C90C76" w:rsidP="00C90C76">
      <w:pPr>
        <w:pStyle w:val="ListParagraph"/>
        <w:numPr>
          <w:ilvl w:val="0"/>
          <w:numId w:val="55"/>
        </w:numPr>
        <w:spacing w:before="0"/>
        <w:rPr>
          <w:b/>
          <w:sz w:val="32"/>
          <w:szCs w:val="32"/>
        </w:rPr>
      </w:pPr>
      <w:r>
        <w:rPr>
          <w:b/>
          <w:sz w:val="32"/>
          <w:szCs w:val="32"/>
        </w:rPr>
        <w:t xml:space="preserve">Access </w:t>
      </w:r>
      <w:hyperlink r:id="rId36" w:history="1">
        <w:r w:rsidRPr="00931025">
          <w:rPr>
            <w:rStyle w:val="Hyperlink"/>
            <w:b/>
            <w:sz w:val="32"/>
            <w:szCs w:val="32"/>
          </w:rPr>
          <w:t>https://wawftraining.eb.mil</w:t>
        </w:r>
      </w:hyperlink>
    </w:p>
    <w:p w:rsidR="00C90C76" w:rsidRDefault="00C90C76" w:rsidP="00C90C76">
      <w:pPr>
        <w:pStyle w:val="ListParagraph"/>
        <w:numPr>
          <w:ilvl w:val="1"/>
          <w:numId w:val="55"/>
        </w:numPr>
        <w:spacing w:before="0"/>
        <w:rPr>
          <w:b/>
          <w:sz w:val="32"/>
          <w:szCs w:val="32"/>
        </w:rPr>
      </w:pPr>
      <w:r>
        <w:rPr>
          <w:b/>
          <w:sz w:val="32"/>
          <w:szCs w:val="32"/>
        </w:rPr>
        <w:t>This site provides a complete practice area including sample values for vendors and government WAWF users</w:t>
      </w:r>
    </w:p>
    <w:p w:rsidR="00C90C76" w:rsidRDefault="00C90C76" w:rsidP="00C90C76">
      <w:pPr>
        <w:pStyle w:val="ListParagraph"/>
        <w:numPr>
          <w:ilvl w:val="0"/>
          <w:numId w:val="55"/>
        </w:numPr>
        <w:spacing w:before="0"/>
        <w:rPr>
          <w:b/>
          <w:sz w:val="32"/>
          <w:szCs w:val="32"/>
        </w:rPr>
      </w:pPr>
      <w:r>
        <w:rPr>
          <w:b/>
          <w:sz w:val="32"/>
          <w:szCs w:val="32"/>
        </w:rPr>
        <w:t>Enter “training” log in information:</w:t>
      </w:r>
    </w:p>
    <w:p w:rsidR="00C90C76" w:rsidRDefault="00C90C76" w:rsidP="00C90C76">
      <w:pPr>
        <w:pStyle w:val="ListParagraph"/>
        <w:numPr>
          <w:ilvl w:val="1"/>
          <w:numId w:val="55"/>
        </w:numPr>
        <w:spacing w:before="0"/>
        <w:rPr>
          <w:b/>
          <w:sz w:val="32"/>
          <w:szCs w:val="32"/>
        </w:rPr>
      </w:pPr>
      <w:r>
        <w:rPr>
          <w:b/>
          <w:sz w:val="32"/>
          <w:szCs w:val="32"/>
        </w:rPr>
        <w:t>User ID = Vendor11</w:t>
      </w:r>
    </w:p>
    <w:p w:rsidR="00C90C76" w:rsidRDefault="00C90C76" w:rsidP="00C90C76">
      <w:pPr>
        <w:pStyle w:val="ListParagraph"/>
        <w:numPr>
          <w:ilvl w:val="1"/>
          <w:numId w:val="55"/>
        </w:numPr>
        <w:spacing w:before="0"/>
        <w:rPr>
          <w:b/>
          <w:sz w:val="32"/>
          <w:szCs w:val="32"/>
        </w:rPr>
      </w:pPr>
      <w:r>
        <w:rPr>
          <w:b/>
          <w:sz w:val="32"/>
          <w:szCs w:val="32"/>
        </w:rPr>
        <w:t>Password = Vendor1$</w:t>
      </w:r>
    </w:p>
    <w:p w:rsidR="00C90C76" w:rsidRDefault="00C90C76" w:rsidP="00C90C76">
      <w:pPr>
        <w:pStyle w:val="ListParagraph"/>
        <w:numPr>
          <w:ilvl w:val="0"/>
          <w:numId w:val="55"/>
        </w:numPr>
        <w:spacing w:before="0"/>
        <w:rPr>
          <w:b/>
          <w:sz w:val="32"/>
          <w:szCs w:val="32"/>
        </w:rPr>
      </w:pPr>
      <w:r>
        <w:rPr>
          <w:b/>
          <w:sz w:val="32"/>
          <w:szCs w:val="32"/>
        </w:rPr>
        <w:t>Click the “Documentation” tab in the tool bar at the top of the screen</w:t>
      </w:r>
    </w:p>
    <w:p w:rsidR="00C90C76" w:rsidRDefault="00C90C76" w:rsidP="00C90C76">
      <w:pPr>
        <w:pStyle w:val="ListParagraph"/>
        <w:numPr>
          <w:ilvl w:val="1"/>
          <w:numId w:val="55"/>
        </w:numPr>
        <w:spacing w:before="0"/>
        <w:rPr>
          <w:b/>
          <w:sz w:val="32"/>
          <w:szCs w:val="32"/>
        </w:rPr>
      </w:pPr>
      <w:r>
        <w:rPr>
          <w:b/>
          <w:sz w:val="32"/>
          <w:szCs w:val="32"/>
        </w:rPr>
        <w:t>Click on “FTP Guides” for the Flat File formats</w:t>
      </w:r>
    </w:p>
    <w:p w:rsidR="005817C7" w:rsidRDefault="00C90C76" w:rsidP="00C90C76">
      <w:pPr>
        <w:pStyle w:val="ListParagraph"/>
        <w:numPr>
          <w:ilvl w:val="2"/>
          <w:numId w:val="55"/>
        </w:numPr>
        <w:spacing w:before="0"/>
        <w:rPr>
          <w:b/>
          <w:sz w:val="32"/>
          <w:szCs w:val="32"/>
        </w:rPr>
      </w:pPr>
      <w:r>
        <w:rPr>
          <w:b/>
          <w:sz w:val="32"/>
          <w:szCs w:val="32"/>
        </w:rPr>
        <w:t xml:space="preserve">Click on Government Furnished Property for </w:t>
      </w:r>
      <w:r w:rsidR="005817C7">
        <w:rPr>
          <w:b/>
          <w:sz w:val="32"/>
          <w:szCs w:val="32"/>
        </w:rPr>
        <w:t>Property Transfer or Property Transfer Receipt format</w:t>
      </w:r>
    </w:p>
    <w:p w:rsidR="005817C7" w:rsidRDefault="005817C7" w:rsidP="00C90C76">
      <w:pPr>
        <w:pStyle w:val="ListParagraph"/>
        <w:numPr>
          <w:ilvl w:val="2"/>
          <w:numId w:val="55"/>
        </w:numPr>
        <w:spacing w:before="0"/>
        <w:rPr>
          <w:b/>
          <w:sz w:val="32"/>
          <w:szCs w:val="32"/>
        </w:rPr>
      </w:pPr>
      <w:r>
        <w:rPr>
          <w:b/>
          <w:sz w:val="32"/>
          <w:szCs w:val="32"/>
        </w:rPr>
        <w:t xml:space="preserve">Click on </w:t>
      </w:r>
      <w:proofErr w:type="spellStart"/>
      <w:r>
        <w:rPr>
          <w:b/>
          <w:sz w:val="32"/>
          <w:szCs w:val="32"/>
        </w:rPr>
        <w:t>Reparables</w:t>
      </w:r>
      <w:proofErr w:type="spellEnd"/>
      <w:r>
        <w:rPr>
          <w:b/>
          <w:sz w:val="32"/>
          <w:szCs w:val="32"/>
        </w:rPr>
        <w:t xml:space="preserve"> Receiving Report for the RRR format</w:t>
      </w:r>
    </w:p>
    <w:p w:rsidR="005817C7" w:rsidRDefault="005817C7" w:rsidP="005817C7">
      <w:pPr>
        <w:pStyle w:val="ListParagraph"/>
        <w:numPr>
          <w:ilvl w:val="1"/>
          <w:numId w:val="55"/>
        </w:numPr>
        <w:spacing w:before="0"/>
        <w:rPr>
          <w:b/>
          <w:sz w:val="32"/>
          <w:szCs w:val="32"/>
        </w:rPr>
      </w:pPr>
      <w:r>
        <w:rPr>
          <w:b/>
          <w:sz w:val="32"/>
          <w:szCs w:val="32"/>
        </w:rPr>
        <w:t xml:space="preserve">Click on “EDI Guides” </w:t>
      </w:r>
    </w:p>
    <w:p w:rsidR="005817C7" w:rsidRDefault="005817C7" w:rsidP="005817C7">
      <w:pPr>
        <w:pStyle w:val="ListParagraph"/>
        <w:numPr>
          <w:ilvl w:val="2"/>
          <w:numId w:val="55"/>
        </w:numPr>
        <w:spacing w:before="0"/>
        <w:rPr>
          <w:b/>
          <w:sz w:val="32"/>
          <w:szCs w:val="32"/>
        </w:rPr>
      </w:pPr>
      <w:r>
        <w:rPr>
          <w:b/>
          <w:sz w:val="32"/>
          <w:szCs w:val="32"/>
        </w:rPr>
        <w:t>Click on “856 GFP WAWF 4010 EDI Detail” for the Property Transfer or Property Transfer Receipt EDI format</w:t>
      </w:r>
    </w:p>
    <w:p w:rsidR="005817C7" w:rsidRDefault="005817C7" w:rsidP="005817C7">
      <w:pPr>
        <w:pStyle w:val="ListParagraph"/>
        <w:numPr>
          <w:ilvl w:val="2"/>
          <w:numId w:val="55"/>
        </w:numPr>
        <w:spacing w:before="0"/>
        <w:rPr>
          <w:b/>
          <w:sz w:val="32"/>
          <w:szCs w:val="32"/>
        </w:rPr>
      </w:pPr>
      <w:r>
        <w:rPr>
          <w:b/>
          <w:sz w:val="32"/>
          <w:szCs w:val="32"/>
        </w:rPr>
        <w:t xml:space="preserve">Click on “856 RRR WAWF 4010 EDI Detail” for </w:t>
      </w:r>
      <w:proofErr w:type="spellStart"/>
      <w:r>
        <w:rPr>
          <w:b/>
          <w:sz w:val="32"/>
          <w:szCs w:val="32"/>
        </w:rPr>
        <w:t>Reparables</w:t>
      </w:r>
      <w:proofErr w:type="spellEnd"/>
      <w:r>
        <w:rPr>
          <w:b/>
          <w:sz w:val="32"/>
          <w:szCs w:val="32"/>
        </w:rPr>
        <w:t xml:space="preserve"> Receiving Report EDI format</w:t>
      </w:r>
    </w:p>
    <w:p w:rsidR="00310A80" w:rsidRPr="00C90C76" w:rsidRDefault="005817C7" w:rsidP="005817C7">
      <w:pPr>
        <w:pStyle w:val="ListParagraph"/>
        <w:numPr>
          <w:ilvl w:val="0"/>
          <w:numId w:val="55"/>
        </w:numPr>
        <w:spacing w:before="0"/>
        <w:rPr>
          <w:b/>
          <w:sz w:val="32"/>
          <w:szCs w:val="32"/>
        </w:rPr>
      </w:pPr>
      <w:r>
        <w:rPr>
          <w:b/>
          <w:sz w:val="32"/>
          <w:szCs w:val="32"/>
        </w:rPr>
        <w:t>After selecting the document, enter the Vendor11/Vendor1$ credentials when prompted to access the specification</w:t>
      </w:r>
      <w:r w:rsidR="00310A80" w:rsidRPr="00C90C76">
        <w:rPr>
          <w:b/>
          <w:sz w:val="32"/>
          <w:szCs w:val="32"/>
        </w:rPr>
        <w:br w:type="page"/>
      </w:r>
    </w:p>
    <w:p w:rsidR="00190C58" w:rsidRDefault="00190C58" w:rsidP="00190C58">
      <w:pPr>
        <w:outlineLvl w:val="0"/>
        <w:rPr>
          <w:b/>
          <w:sz w:val="32"/>
          <w:szCs w:val="32"/>
        </w:rPr>
      </w:pPr>
      <w:bookmarkStart w:id="51" w:name="_Toc327516062"/>
      <w:r w:rsidRPr="001769E6">
        <w:rPr>
          <w:b/>
          <w:sz w:val="32"/>
          <w:szCs w:val="32"/>
        </w:rPr>
        <w:t xml:space="preserve">APPENDIX </w:t>
      </w:r>
      <w:r w:rsidR="00310A80">
        <w:rPr>
          <w:b/>
          <w:sz w:val="32"/>
          <w:szCs w:val="32"/>
        </w:rPr>
        <w:t>D</w:t>
      </w:r>
      <w:r>
        <w:rPr>
          <w:b/>
          <w:sz w:val="32"/>
          <w:szCs w:val="32"/>
        </w:rPr>
        <w:t xml:space="preserve"> – ACRONYMS</w:t>
      </w:r>
      <w:bookmarkEnd w:id="51"/>
    </w:p>
    <w:p w:rsidR="00190C58" w:rsidRPr="00AE4BB0" w:rsidRDefault="00190C58" w:rsidP="00190C58">
      <w:pPr>
        <w:outlineLvl w:val="0"/>
        <w:rPr>
          <w:b/>
          <w:sz w:val="20"/>
        </w:rPr>
      </w:pPr>
    </w:p>
    <w:p w:rsidR="00AE4BB0" w:rsidRDefault="00AE4BB0" w:rsidP="00AE4BB0">
      <w:pPr>
        <w:spacing w:before="0"/>
      </w:pPr>
      <w:r>
        <w:t>CAGE</w:t>
      </w:r>
      <w:r>
        <w:tab/>
      </w:r>
      <w:r>
        <w:tab/>
        <w:t xml:space="preserve">Commercial and </w:t>
      </w:r>
      <w:r w:rsidR="004002E7">
        <w:t>Government</w:t>
      </w:r>
      <w:r>
        <w:t xml:space="preserve"> Entity Code   </w:t>
      </w:r>
    </w:p>
    <w:p w:rsidR="0043390F" w:rsidRDefault="0043390F" w:rsidP="00190C58">
      <w:pPr>
        <w:spacing w:before="0"/>
        <w:rPr>
          <w:szCs w:val="24"/>
        </w:rPr>
      </w:pPr>
      <w:r>
        <w:t>CLIN</w:t>
      </w:r>
      <w:r>
        <w:tab/>
      </w:r>
      <w:r>
        <w:tab/>
        <w:t>Contract Line Item Number</w:t>
      </w:r>
    </w:p>
    <w:p w:rsidR="007322AB" w:rsidRDefault="007322AB" w:rsidP="00190C58">
      <w:pPr>
        <w:spacing w:before="0"/>
      </w:pPr>
      <w:r>
        <w:t>CDRL</w:t>
      </w:r>
      <w:r>
        <w:tab/>
      </w:r>
      <w:r>
        <w:tab/>
        <w:t>Contract Data Requirements List</w:t>
      </w:r>
    </w:p>
    <w:p w:rsidR="00AE4BB0" w:rsidRDefault="00AE4BB0" w:rsidP="00190C58">
      <w:pPr>
        <w:spacing w:before="0"/>
      </w:pPr>
    </w:p>
    <w:p w:rsidR="00AE4BB0" w:rsidRDefault="00AE4BB0" w:rsidP="00AE4BB0">
      <w:pPr>
        <w:spacing w:before="0"/>
        <w:rPr>
          <w:szCs w:val="24"/>
        </w:rPr>
      </w:pPr>
      <w:r>
        <w:rPr>
          <w:szCs w:val="24"/>
        </w:rPr>
        <w:t>DFARS</w:t>
      </w:r>
      <w:r>
        <w:rPr>
          <w:szCs w:val="24"/>
        </w:rPr>
        <w:tab/>
        <w:t>Defense Federal Acquisition Regulation Supplement</w:t>
      </w:r>
    </w:p>
    <w:p w:rsidR="00AE4BB0" w:rsidRDefault="00AE4BB0" w:rsidP="00190C58">
      <w:pPr>
        <w:spacing w:before="0"/>
      </w:pPr>
    </w:p>
    <w:p w:rsidR="00AE4BB0" w:rsidRDefault="00AE4BB0" w:rsidP="00AE4BB0">
      <w:pPr>
        <w:spacing w:before="0"/>
        <w:rPr>
          <w:szCs w:val="24"/>
        </w:rPr>
      </w:pPr>
      <w:r>
        <w:rPr>
          <w:szCs w:val="24"/>
        </w:rPr>
        <w:t>EDA</w:t>
      </w:r>
      <w:r>
        <w:rPr>
          <w:szCs w:val="24"/>
        </w:rPr>
        <w:tab/>
      </w:r>
      <w:r>
        <w:rPr>
          <w:szCs w:val="24"/>
        </w:rPr>
        <w:tab/>
        <w:t>Electronic Document Access</w:t>
      </w:r>
    </w:p>
    <w:p w:rsidR="00AE4BB0" w:rsidRDefault="00AE4BB0" w:rsidP="00190C58">
      <w:pPr>
        <w:spacing w:before="0"/>
      </w:pPr>
    </w:p>
    <w:p w:rsidR="00190C58" w:rsidRDefault="00190C58" w:rsidP="00190C58">
      <w:pPr>
        <w:spacing w:before="0"/>
      </w:pPr>
      <w:r>
        <w:t>FAR</w:t>
      </w:r>
      <w:r>
        <w:tab/>
      </w:r>
      <w:r>
        <w:tab/>
        <w:t>Federal Acquisition Regulation</w:t>
      </w:r>
    </w:p>
    <w:p w:rsidR="00AE4BB0" w:rsidRDefault="00AE4BB0" w:rsidP="0043390F">
      <w:pPr>
        <w:spacing w:before="0"/>
      </w:pPr>
    </w:p>
    <w:p w:rsidR="00AE4BB0" w:rsidRDefault="00AE4BB0" w:rsidP="00AE4BB0">
      <w:pPr>
        <w:spacing w:before="0"/>
      </w:pPr>
      <w:r>
        <w:t>GFE</w:t>
      </w:r>
      <w:r>
        <w:tab/>
      </w:r>
      <w:r>
        <w:tab/>
      </w:r>
      <w:r w:rsidR="004002E7">
        <w:t>Government</w:t>
      </w:r>
      <w:r>
        <w:t xml:space="preserve"> Furnished Equipment </w:t>
      </w:r>
    </w:p>
    <w:p w:rsidR="0043390F" w:rsidRDefault="0043390F" w:rsidP="0043390F">
      <w:pPr>
        <w:spacing w:before="0"/>
      </w:pPr>
      <w:r>
        <w:t>GFM</w:t>
      </w:r>
      <w:r>
        <w:tab/>
      </w:r>
      <w:r>
        <w:tab/>
      </w:r>
      <w:r w:rsidR="004002E7">
        <w:t>Government</w:t>
      </w:r>
      <w:r>
        <w:t xml:space="preserve"> Furnished Material</w:t>
      </w:r>
    </w:p>
    <w:p w:rsidR="0043390F" w:rsidRDefault="0043390F" w:rsidP="0043390F">
      <w:pPr>
        <w:spacing w:before="0"/>
      </w:pPr>
      <w:r>
        <w:t>GFP</w:t>
      </w:r>
      <w:r>
        <w:tab/>
      </w:r>
      <w:r>
        <w:tab/>
      </w:r>
      <w:r w:rsidR="004002E7">
        <w:t>Government</w:t>
      </w:r>
      <w:r>
        <w:t xml:space="preserve"> Furnished Property</w:t>
      </w:r>
    </w:p>
    <w:p w:rsidR="00AE4BB0" w:rsidRDefault="00AE4BB0" w:rsidP="00AE4BB0">
      <w:pPr>
        <w:spacing w:before="0"/>
      </w:pPr>
    </w:p>
    <w:p w:rsidR="00AE4BB0" w:rsidRDefault="00AE4BB0" w:rsidP="00AE4BB0">
      <w:pPr>
        <w:spacing w:before="0"/>
      </w:pPr>
      <w:r>
        <w:t>IUID</w:t>
      </w:r>
      <w:r>
        <w:tab/>
      </w:r>
      <w:r>
        <w:tab/>
        <w:t>Item Unique Identification</w:t>
      </w:r>
    </w:p>
    <w:p w:rsidR="00AE4BB0" w:rsidRDefault="00AE4BB0" w:rsidP="00AE4BB0">
      <w:pPr>
        <w:spacing w:before="0"/>
      </w:pPr>
    </w:p>
    <w:p w:rsidR="00AE4BB0" w:rsidRDefault="00AE4BB0" w:rsidP="00AE4BB0">
      <w:pPr>
        <w:spacing w:before="0"/>
      </w:pPr>
    </w:p>
    <w:p w:rsidR="00AE4BB0" w:rsidRDefault="00AE4BB0" w:rsidP="00AE4BB0">
      <w:pPr>
        <w:spacing w:before="0"/>
      </w:pPr>
      <w:r>
        <w:t>NSN</w:t>
      </w:r>
      <w:r>
        <w:tab/>
      </w:r>
      <w:r>
        <w:tab/>
        <w:t>National Stock Number</w:t>
      </w:r>
    </w:p>
    <w:p w:rsidR="00AE4BB0" w:rsidRDefault="00AE4BB0" w:rsidP="000402FF">
      <w:pPr>
        <w:spacing w:before="0"/>
      </w:pPr>
    </w:p>
    <w:p w:rsidR="00AE4BB0" w:rsidRDefault="00AE4BB0" w:rsidP="00190C58">
      <w:pPr>
        <w:spacing w:before="0"/>
      </w:pPr>
    </w:p>
    <w:p w:rsidR="000402FF" w:rsidRPr="00AE4BB0" w:rsidRDefault="000402FF" w:rsidP="00190C58">
      <w:pPr>
        <w:spacing w:before="0"/>
        <w:rPr>
          <w:lang w:val="fr-FR"/>
        </w:rPr>
      </w:pPr>
      <w:r w:rsidRPr="00AE4BB0">
        <w:rPr>
          <w:lang w:val="fr-FR"/>
        </w:rPr>
        <w:t>PIIN</w:t>
      </w:r>
      <w:r w:rsidRPr="00AE4BB0">
        <w:rPr>
          <w:lang w:val="fr-FR"/>
        </w:rPr>
        <w:tab/>
      </w:r>
      <w:r w:rsidRPr="00AE4BB0">
        <w:rPr>
          <w:lang w:val="fr-FR"/>
        </w:rPr>
        <w:tab/>
      </w:r>
      <w:r w:rsidRPr="00DE2C16">
        <w:t>Procurement</w:t>
      </w:r>
      <w:r w:rsidRPr="00AE4BB0">
        <w:rPr>
          <w:lang w:val="fr-FR"/>
        </w:rPr>
        <w:t xml:space="preserve"> Instrument Identification </w:t>
      </w:r>
      <w:r w:rsidRPr="00DE2C16">
        <w:t>Number</w:t>
      </w:r>
      <w:r w:rsidRPr="00AE4BB0">
        <w:rPr>
          <w:lang w:val="fr-FR"/>
        </w:rPr>
        <w:t xml:space="preserve">. </w:t>
      </w:r>
    </w:p>
    <w:p w:rsidR="00CC4748" w:rsidRDefault="00CC4748" w:rsidP="00190C58">
      <w:pPr>
        <w:spacing w:before="0"/>
      </w:pPr>
      <w:r>
        <w:t>PM</w:t>
      </w:r>
      <w:r>
        <w:tab/>
      </w:r>
      <w:r>
        <w:tab/>
        <w:t>Program Manager</w:t>
      </w:r>
    </w:p>
    <w:p w:rsidR="003D0CBC" w:rsidRDefault="003D0CBC" w:rsidP="00190C58">
      <w:pPr>
        <w:spacing w:before="0"/>
      </w:pPr>
      <w:smartTag w:uri="urn:schemas-microsoft-com:office:smarttags" w:element="place">
        <w:r>
          <w:t>PO</w:t>
        </w:r>
      </w:smartTag>
      <w:r>
        <w:tab/>
      </w:r>
      <w:r>
        <w:tab/>
        <w:t>Project Officers</w:t>
      </w:r>
    </w:p>
    <w:p w:rsidR="00AE4BB0" w:rsidRDefault="00AE4BB0" w:rsidP="00AE4BB0">
      <w:pPr>
        <w:spacing w:before="0"/>
      </w:pPr>
    </w:p>
    <w:p w:rsidR="00AE4BB0" w:rsidRDefault="00AE4BB0" w:rsidP="00A863A8">
      <w:pPr>
        <w:tabs>
          <w:tab w:val="left" w:pos="450"/>
          <w:tab w:val="left" w:pos="900"/>
        </w:tabs>
        <w:spacing w:before="0"/>
      </w:pPr>
    </w:p>
    <w:p w:rsidR="007322AB" w:rsidRDefault="007322AB" w:rsidP="00190C58">
      <w:pPr>
        <w:spacing w:before="0"/>
      </w:pPr>
      <w:r>
        <w:t>UII</w:t>
      </w:r>
      <w:r>
        <w:tab/>
      </w:r>
      <w:r>
        <w:tab/>
        <w:t>Unique Item Identifier</w:t>
      </w:r>
    </w:p>
    <w:p w:rsidR="00AE4BB0" w:rsidRDefault="00AE4BB0" w:rsidP="00190C58">
      <w:pPr>
        <w:spacing w:before="0"/>
      </w:pPr>
    </w:p>
    <w:p w:rsidR="00190C58" w:rsidRDefault="00190C58" w:rsidP="00B0603A">
      <w:pPr>
        <w:spacing w:before="0"/>
      </w:pPr>
      <w:r>
        <w:t>WAWF</w:t>
      </w:r>
      <w:r>
        <w:tab/>
        <w:t>Wide Area Workflow</w:t>
      </w:r>
    </w:p>
    <w:sectPr w:rsidR="00190C58" w:rsidSect="00CE7E8A">
      <w:headerReference w:type="default" r:id="rId37"/>
      <w:footerReference w:type="default" r:id="rId38"/>
      <w:footnotePr>
        <w:numStart w:val="0"/>
      </w:footnotePr>
      <w:pgSz w:w="12240" w:h="15840" w:code="1"/>
      <w:pgMar w:top="720" w:right="1440" w:bottom="720" w:left="1440" w:header="634" w:footer="63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6EA" w:rsidRDefault="00DE56EA">
      <w:r>
        <w:separator/>
      </w:r>
    </w:p>
  </w:endnote>
  <w:endnote w:type="continuationSeparator" w:id="0">
    <w:p w:rsidR="00DE56EA" w:rsidRDefault="00DE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1C" w:rsidRDefault="00B65468" w:rsidP="00A55278">
    <w:pPr>
      <w:pStyle w:val="Footer"/>
      <w:framePr w:wrap="around" w:vAnchor="text" w:hAnchor="margin" w:xAlign="right" w:y="1"/>
      <w:rPr>
        <w:rStyle w:val="PageNumber"/>
      </w:rPr>
    </w:pPr>
    <w:r>
      <w:rPr>
        <w:rStyle w:val="PageNumber"/>
      </w:rPr>
      <w:fldChar w:fldCharType="begin"/>
    </w:r>
    <w:r w:rsidR="00A1081C">
      <w:rPr>
        <w:rStyle w:val="PageNumber"/>
      </w:rPr>
      <w:instrText xml:space="preserve">PAGE  </w:instrText>
    </w:r>
    <w:r>
      <w:rPr>
        <w:rStyle w:val="PageNumber"/>
      </w:rPr>
      <w:fldChar w:fldCharType="end"/>
    </w:r>
  </w:p>
  <w:p w:rsidR="00A1081C" w:rsidRDefault="00A1081C" w:rsidP="00A552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1C" w:rsidRDefault="00B65468" w:rsidP="004D2FCF">
    <w:pPr>
      <w:pStyle w:val="Footer"/>
      <w:framePr w:wrap="around" w:vAnchor="text" w:hAnchor="margin" w:xAlign="right" w:y="1"/>
      <w:rPr>
        <w:rStyle w:val="PageNumber"/>
      </w:rPr>
    </w:pPr>
    <w:r>
      <w:rPr>
        <w:rStyle w:val="PageNumber"/>
      </w:rPr>
      <w:fldChar w:fldCharType="begin"/>
    </w:r>
    <w:r w:rsidR="00A1081C">
      <w:rPr>
        <w:rStyle w:val="PageNumber"/>
      </w:rPr>
      <w:instrText xml:space="preserve">PAGE  </w:instrText>
    </w:r>
    <w:r>
      <w:rPr>
        <w:rStyle w:val="PageNumber"/>
      </w:rPr>
      <w:fldChar w:fldCharType="separate"/>
    </w:r>
    <w:r w:rsidR="00014CDF">
      <w:rPr>
        <w:rStyle w:val="PageNumber"/>
        <w:noProof/>
      </w:rPr>
      <w:t>22</w:t>
    </w:r>
    <w:r>
      <w:rPr>
        <w:rStyle w:val="PageNumber"/>
      </w:rPr>
      <w:fldChar w:fldCharType="end"/>
    </w:r>
  </w:p>
  <w:p w:rsidR="00A1081C" w:rsidRPr="005E22BC" w:rsidRDefault="00A1081C" w:rsidP="002557D0">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1C" w:rsidRDefault="00B65468" w:rsidP="00CE7E8A">
    <w:pPr>
      <w:pStyle w:val="Footer"/>
      <w:framePr w:wrap="around" w:vAnchor="text" w:hAnchor="margin" w:xAlign="center" w:y="1"/>
      <w:rPr>
        <w:rStyle w:val="PageNumber"/>
      </w:rPr>
    </w:pPr>
    <w:r>
      <w:rPr>
        <w:rStyle w:val="PageNumber"/>
      </w:rPr>
      <w:fldChar w:fldCharType="begin"/>
    </w:r>
    <w:r w:rsidR="00A1081C">
      <w:rPr>
        <w:rStyle w:val="PageNumber"/>
      </w:rPr>
      <w:instrText xml:space="preserve">PAGE  </w:instrText>
    </w:r>
    <w:r>
      <w:rPr>
        <w:rStyle w:val="PageNumber"/>
      </w:rPr>
      <w:fldChar w:fldCharType="end"/>
    </w:r>
  </w:p>
  <w:p w:rsidR="00A1081C" w:rsidRDefault="00A1081C" w:rsidP="004D2FCF">
    <w:pPr>
      <w:tabs>
        <w:tab w:val="left" w:pos="80"/>
      </w:tabs>
      <w:ind w:right="360"/>
      <w:rPr>
        <w:rFonts w:ascii="Century Schoolbook" w:hAnsi="Century Schoolbook"/>
        <w:b/>
        <w:sz w:val="20"/>
      </w:rPr>
    </w:pPr>
  </w:p>
  <w:p w:rsidR="00A1081C" w:rsidRDefault="00A1081C">
    <w:pPr>
      <w:tabs>
        <w:tab w:val="left" w:pos="80"/>
      </w:tabs>
      <w:rPr>
        <w:rFonts w:ascii="Century Schoolbook" w:hAnsi="Century Schoolbook"/>
        <w:b/>
        <w:sz w:val="20"/>
      </w:rPr>
    </w:pPr>
  </w:p>
  <w:p w:rsidR="00A1081C" w:rsidRDefault="00A1081C">
    <w:pPr>
      <w:pBdr>
        <w:top w:val="single" w:sz="6" w:space="1" w:color="auto"/>
      </w:pBdr>
      <w:tabs>
        <w:tab w:val="right" w:pos="9260"/>
      </w:tabs>
      <w:rPr>
        <w:rFonts w:ascii="Century Schoolbook" w:hAnsi="Century Schoolbook"/>
        <w:sz w:val="20"/>
      </w:rPr>
    </w:pPr>
    <w:r>
      <w:rPr>
        <w:rFonts w:ascii="Century Schoolbook" w:hAnsi="Century Schoolbook"/>
        <w:sz w:val="20"/>
      </w:rPr>
      <w:t>246.7-</w:t>
    </w:r>
    <w:r>
      <w:rPr>
        <w:rFonts w:ascii="Century Schoolbook" w:hAnsi="Century Schoolbook"/>
        <w:sz w:val="20"/>
      </w:rPr>
      <w:pgNum/>
    </w:r>
    <w:r>
      <w:rPr>
        <w:rFonts w:ascii="Century Schoolbook" w:hAnsi="Century Schoolbook"/>
        <w:sz w:val="20"/>
      </w:rPr>
      <w:tab/>
    </w:r>
    <w:r>
      <w:rPr>
        <w:rFonts w:ascii="Century Schoolbook" w:hAnsi="Century Schoolbook"/>
        <w:sz w:val="20"/>
      </w:rPr>
      <w:tab/>
      <w:t>1998 EDITION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1C" w:rsidRPr="005E22BC" w:rsidRDefault="00A1081C" w:rsidP="00515EBA">
    <w:pPr>
      <w:pStyle w:val="Footer"/>
      <w:ind w:right="360"/>
      <w:jc w:val="center"/>
      <w:rPr>
        <w:b/>
      </w:rPr>
    </w:pPr>
    <w:r>
      <w:rPr>
        <w:b/>
      </w:rPr>
      <w:t>A-1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1C" w:rsidRDefault="00B65468" w:rsidP="009A400F">
    <w:pPr>
      <w:pStyle w:val="Footer"/>
      <w:framePr w:wrap="around" w:vAnchor="text" w:hAnchor="margin" w:xAlign="center" w:y="1"/>
      <w:rPr>
        <w:rStyle w:val="PageNumber"/>
      </w:rPr>
    </w:pPr>
    <w:r>
      <w:rPr>
        <w:rStyle w:val="PageNumber"/>
      </w:rPr>
      <w:fldChar w:fldCharType="begin"/>
    </w:r>
    <w:r w:rsidR="00A1081C">
      <w:rPr>
        <w:rStyle w:val="PageNumber"/>
      </w:rPr>
      <w:instrText xml:space="preserve">PAGE  </w:instrText>
    </w:r>
    <w:r>
      <w:rPr>
        <w:rStyle w:val="PageNumber"/>
      </w:rPr>
      <w:fldChar w:fldCharType="separate"/>
    </w:r>
    <w:r w:rsidR="00014CDF">
      <w:rPr>
        <w:rStyle w:val="PageNumber"/>
        <w:noProof/>
      </w:rPr>
      <w:t>2</w:t>
    </w:r>
    <w:r>
      <w:rPr>
        <w:rStyle w:val="PageNumber"/>
      </w:rPr>
      <w:fldChar w:fldCharType="end"/>
    </w:r>
  </w:p>
  <w:p w:rsidR="00A1081C" w:rsidRPr="005E22BC" w:rsidRDefault="00A1081C" w:rsidP="00515EBA">
    <w:pPr>
      <w:pStyle w:val="Footer"/>
      <w:ind w:right="360"/>
      <w:jc w:val="center"/>
      <w:rPr>
        <w:b/>
      </w:rPr>
    </w:pPr>
    <w:r>
      <w:rPr>
        <w:b/>
      </w:rPr>
      <w:t>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6EA" w:rsidRDefault="00DE56EA">
      <w:r>
        <w:separator/>
      </w:r>
    </w:p>
  </w:footnote>
  <w:footnote w:type="continuationSeparator" w:id="0">
    <w:p w:rsidR="00DE56EA" w:rsidRDefault="00DE5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1C" w:rsidRDefault="00A1081C">
    <w:pPr>
      <w:pStyle w:val="Header"/>
      <w:tabs>
        <w:tab w:val="clear" w:pos="8640"/>
      </w:tabs>
      <w:jc w:val="center"/>
      <w:rPr>
        <w:rFonts w:ascii="Century Schoolbook" w:hAnsi="Century Schoolbook"/>
        <w:sz w:val="22"/>
      </w:rPr>
    </w:pPr>
    <w:r>
      <w:rPr>
        <w:rFonts w:ascii="Century Schoolbook" w:hAnsi="Century Schoolbook"/>
        <w:sz w:val="22"/>
      </w:rPr>
      <w:t>Defense Federal Acquisition Regulation Supplement</w:t>
    </w:r>
  </w:p>
  <w:p w:rsidR="00A1081C" w:rsidRDefault="00A1081C">
    <w:pPr>
      <w:pStyle w:val="Header"/>
      <w:rPr>
        <w:rFonts w:ascii="Century Schoolbook" w:hAnsi="Century Schoolbook"/>
        <w:b/>
        <w:sz w:val="20"/>
      </w:rPr>
    </w:pPr>
  </w:p>
  <w:p w:rsidR="00A1081C" w:rsidRDefault="00A1081C">
    <w:pPr>
      <w:pStyle w:val="Header"/>
      <w:pBdr>
        <w:bottom w:val="single" w:sz="6" w:space="1" w:color="auto"/>
      </w:pBdr>
      <w:spacing w:after="10"/>
      <w:rPr>
        <w:rFonts w:ascii="Century Schoolbook" w:hAnsi="Century Schoolbook"/>
        <w:sz w:val="20"/>
      </w:rPr>
    </w:pPr>
    <w:r>
      <w:rPr>
        <w:rFonts w:ascii="Century Schoolbook" w:hAnsi="Century Schoolbook"/>
        <w:sz w:val="20"/>
      </w:rPr>
      <w:t>Part 246—Quality Assurance</w:t>
    </w:r>
  </w:p>
  <w:p w:rsidR="00A1081C" w:rsidRDefault="00A1081C">
    <w:pPr>
      <w:pStyle w:val="Header"/>
      <w:spacing w:before="10" w:line="40" w:lineRule="exact"/>
      <w:rPr>
        <w:rFonts w:ascii="Century Schoolbook" w:hAnsi="Century Schoolbook"/>
        <w:b/>
        <w:position w:val="6"/>
        <w:sz w:val="18"/>
      </w:rPr>
    </w:pPr>
  </w:p>
  <w:p w:rsidR="00A1081C" w:rsidRDefault="00A1081C">
    <w:pPr>
      <w:pStyle w:val="Header"/>
      <w:tabs>
        <w:tab w:val="right" w:pos="10260"/>
      </w:tabs>
      <w:rPr>
        <w:rFonts w:ascii="Century Schoolbook" w:hAnsi="Century Schoolbook"/>
        <w:b/>
        <w:sz w:val="20"/>
      </w:rPr>
    </w:pPr>
  </w:p>
  <w:p w:rsidR="00A1081C" w:rsidRDefault="00A1081C">
    <w:pPr>
      <w:pStyle w:val="Header"/>
      <w:tabs>
        <w:tab w:val="right" w:pos="10260"/>
      </w:tabs>
      <w:rPr>
        <w:rFonts w:ascii="Century Schoolbook" w:hAnsi="Century Schoolbook"/>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1C" w:rsidRPr="002557D0" w:rsidRDefault="00A1081C" w:rsidP="002557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1C" w:rsidRPr="002557D0" w:rsidRDefault="00A1081C" w:rsidP="002557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0C1"/>
    <w:multiLevelType w:val="multilevel"/>
    <w:tmpl w:val="33965B4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18F7DD6"/>
    <w:multiLevelType w:val="singleLevel"/>
    <w:tmpl w:val="F5206B06"/>
    <w:lvl w:ilvl="0">
      <w:start w:val="1"/>
      <w:numFmt w:val="lowerLetter"/>
      <w:lvlText w:val="%1)"/>
      <w:lvlJc w:val="left"/>
      <w:pPr>
        <w:tabs>
          <w:tab w:val="num" w:pos="1080"/>
        </w:tabs>
        <w:ind w:left="1080" w:hanging="360"/>
      </w:pPr>
      <w:rPr>
        <w:b w:val="0"/>
        <w:i w:val="0"/>
      </w:rPr>
    </w:lvl>
  </w:abstractNum>
  <w:abstractNum w:abstractNumId="2">
    <w:nsid w:val="056D45F5"/>
    <w:multiLevelType w:val="multilevel"/>
    <w:tmpl w:val="3022FE1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080884"/>
    <w:multiLevelType w:val="singleLevel"/>
    <w:tmpl w:val="7E5067BE"/>
    <w:lvl w:ilvl="0">
      <w:start w:val="1"/>
      <w:numFmt w:val="decimal"/>
      <w:lvlText w:val="%1)"/>
      <w:lvlJc w:val="left"/>
      <w:pPr>
        <w:tabs>
          <w:tab w:val="num" w:pos="1080"/>
        </w:tabs>
        <w:ind w:left="1080" w:hanging="360"/>
      </w:pPr>
      <w:rPr>
        <w:u w:val="none"/>
      </w:rPr>
    </w:lvl>
  </w:abstractNum>
  <w:abstractNum w:abstractNumId="4">
    <w:nsid w:val="0735223A"/>
    <w:multiLevelType w:val="singleLevel"/>
    <w:tmpl w:val="F5206B06"/>
    <w:lvl w:ilvl="0">
      <w:start w:val="1"/>
      <w:numFmt w:val="lowerLetter"/>
      <w:lvlText w:val="%1)"/>
      <w:lvlJc w:val="left"/>
      <w:pPr>
        <w:tabs>
          <w:tab w:val="num" w:pos="1080"/>
        </w:tabs>
        <w:ind w:left="1080" w:hanging="360"/>
      </w:pPr>
      <w:rPr>
        <w:rFonts w:hint="default"/>
      </w:rPr>
    </w:lvl>
  </w:abstractNum>
  <w:abstractNum w:abstractNumId="5">
    <w:nsid w:val="0AF7660C"/>
    <w:multiLevelType w:val="hybridMultilevel"/>
    <w:tmpl w:val="56243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E8581B"/>
    <w:multiLevelType w:val="hybridMultilevel"/>
    <w:tmpl w:val="7924F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215D74"/>
    <w:multiLevelType w:val="singleLevel"/>
    <w:tmpl w:val="CDAE3788"/>
    <w:lvl w:ilvl="0">
      <w:start w:val="1"/>
      <w:numFmt w:val="lowerLetter"/>
      <w:lvlText w:val="%1)"/>
      <w:lvlJc w:val="left"/>
      <w:pPr>
        <w:tabs>
          <w:tab w:val="num" w:pos="1440"/>
        </w:tabs>
        <w:ind w:left="1440" w:hanging="360"/>
      </w:pPr>
      <w:rPr>
        <w:rFonts w:hint="default"/>
      </w:rPr>
    </w:lvl>
  </w:abstractNum>
  <w:abstractNum w:abstractNumId="8">
    <w:nsid w:val="0E9F0FB2"/>
    <w:multiLevelType w:val="singleLevel"/>
    <w:tmpl w:val="CDE69F38"/>
    <w:lvl w:ilvl="0">
      <w:start w:val="1"/>
      <w:numFmt w:val="lowerRoman"/>
      <w:lvlText w:val="(%1)"/>
      <w:lvlJc w:val="left"/>
      <w:pPr>
        <w:tabs>
          <w:tab w:val="num" w:pos="1440"/>
        </w:tabs>
        <w:ind w:left="1080" w:hanging="360"/>
      </w:pPr>
      <w:rPr>
        <w:rFonts w:hint="default"/>
      </w:rPr>
    </w:lvl>
  </w:abstractNum>
  <w:abstractNum w:abstractNumId="9">
    <w:nsid w:val="1083214E"/>
    <w:multiLevelType w:val="singleLevel"/>
    <w:tmpl w:val="B73AD3E6"/>
    <w:lvl w:ilvl="0">
      <w:start w:val="1"/>
      <w:numFmt w:val="lowerLetter"/>
      <w:lvlText w:val="%1)"/>
      <w:lvlJc w:val="left"/>
      <w:pPr>
        <w:tabs>
          <w:tab w:val="num" w:pos="1800"/>
        </w:tabs>
        <w:ind w:left="1800" w:hanging="360"/>
      </w:pPr>
      <w:rPr>
        <w:rFonts w:hint="default"/>
      </w:rPr>
    </w:lvl>
  </w:abstractNum>
  <w:abstractNum w:abstractNumId="10">
    <w:nsid w:val="127D7C27"/>
    <w:multiLevelType w:val="singleLevel"/>
    <w:tmpl w:val="BE50A0DC"/>
    <w:lvl w:ilvl="0">
      <w:start w:val="1"/>
      <w:numFmt w:val="lowerRoman"/>
      <w:lvlText w:val="(%1)"/>
      <w:lvlJc w:val="left"/>
      <w:pPr>
        <w:tabs>
          <w:tab w:val="num" w:pos="2880"/>
        </w:tabs>
        <w:ind w:left="2880" w:hanging="720"/>
      </w:pPr>
      <w:rPr>
        <w:u w:val="none"/>
      </w:rPr>
    </w:lvl>
  </w:abstractNum>
  <w:abstractNum w:abstractNumId="11">
    <w:nsid w:val="166D7B58"/>
    <w:multiLevelType w:val="singleLevel"/>
    <w:tmpl w:val="CDE69F38"/>
    <w:lvl w:ilvl="0">
      <w:start w:val="1"/>
      <w:numFmt w:val="lowerRoman"/>
      <w:lvlText w:val="(%1)"/>
      <w:lvlJc w:val="left"/>
      <w:pPr>
        <w:tabs>
          <w:tab w:val="num" w:pos="1440"/>
        </w:tabs>
        <w:ind w:left="1080" w:hanging="360"/>
      </w:pPr>
      <w:rPr>
        <w:rFonts w:hint="default"/>
      </w:rPr>
    </w:lvl>
  </w:abstractNum>
  <w:abstractNum w:abstractNumId="12">
    <w:nsid w:val="19D4168A"/>
    <w:multiLevelType w:val="hybridMultilevel"/>
    <w:tmpl w:val="B26EB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88583D"/>
    <w:multiLevelType w:val="hybridMultilevel"/>
    <w:tmpl w:val="352AEE26"/>
    <w:lvl w:ilvl="0" w:tplc="04090017">
      <w:start w:val="1"/>
      <w:numFmt w:val="lowerLetter"/>
      <w:lvlText w:val="%1)"/>
      <w:lvlJc w:val="left"/>
      <w:pPr>
        <w:tabs>
          <w:tab w:val="num" w:pos="1620"/>
        </w:tabs>
        <w:ind w:left="1620" w:hanging="360"/>
      </w:pPr>
    </w:lvl>
    <w:lvl w:ilvl="1" w:tplc="BA24A6B6">
      <w:start w:val="1"/>
      <w:numFmt w:val="lowerLetter"/>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4">
    <w:nsid w:val="21586360"/>
    <w:multiLevelType w:val="hybridMultilevel"/>
    <w:tmpl w:val="4D3A21EE"/>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5">
    <w:nsid w:val="22211115"/>
    <w:multiLevelType w:val="multilevel"/>
    <w:tmpl w:val="2F9E1964"/>
    <w:lvl w:ilvl="0">
      <w:start w:val="1"/>
      <w:numFmt w:val="decimal"/>
      <w:lvlText w:val="%1"/>
      <w:lvlJc w:val="left"/>
      <w:pPr>
        <w:tabs>
          <w:tab w:val="num" w:pos="600"/>
        </w:tabs>
        <w:ind w:left="600" w:hanging="600"/>
      </w:pPr>
      <w:rPr>
        <w:rFonts w:hint="default"/>
        <w:b/>
      </w:rPr>
    </w:lvl>
    <w:lvl w:ilvl="1">
      <w:start w:val="5"/>
      <w:numFmt w:val="decimal"/>
      <w:lvlText w:val="%1.%2"/>
      <w:lvlJc w:val="left"/>
      <w:pPr>
        <w:tabs>
          <w:tab w:val="num" w:pos="600"/>
        </w:tabs>
        <w:ind w:left="600" w:hanging="60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241B580B"/>
    <w:multiLevelType w:val="hybridMultilevel"/>
    <w:tmpl w:val="4784F92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CCB2D82"/>
    <w:multiLevelType w:val="singleLevel"/>
    <w:tmpl w:val="05806B9A"/>
    <w:lvl w:ilvl="0">
      <w:start w:val="1"/>
      <w:numFmt w:val="decimal"/>
      <w:lvlText w:val="%1)"/>
      <w:lvlJc w:val="left"/>
      <w:pPr>
        <w:tabs>
          <w:tab w:val="num" w:pos="1440"/>
        </w:tabs>
        <w:ind w:left="1440" w:hanging="720"/>
      </w:pPr>
      <w:rPr>
        <w:rFonts w:hint="default"/>
      </w:rPr>
    </w:lvl>
  </w:abstractNum>
  <w:abstractNum w:abstractNumId="18">
    <w:nsid w:val="2D2937C0"/>
    <w:multiLevelType w:val="hybridMultilevel"/>
    <w:tmpl w:val="1D62783A"/>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9">
    <w:nsid w:val="2D8E5B9F"/>
    <w:multiLevelType w:val="hybridMultilevel"/>
    <w:tmpl w:val="FCE0A460"/>
    <w:lvl w:ilvl="0" w:tplc="103870B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DC0ABD"/>
    <w:multiLevelType w:val="singleLevel"/>
    <w:tmpl w:val="279A876E"/>
    <w:lvl w:ilvl="0">
      <w:start w:val="1"/>
      <w:numFmt w:val="lowerLetter"/>
      <w:lvlText w:val="%1)"/>
      <w:lvlJc w:val="left"/>
      <w:pPr>
        <w:tabs>
          <w:tab w:val="num" w:pos="1800"/>
        </w:tabs>
        <w:ind w:left="1800" w:hanging="360"/>
      </w:pPr>
      <w:rPr>
        <w:rFonts w:hint="default"/>
      </w:rPr>
    </w:lvl>
  </w:abstractNum>
  <w:abstractNum w:abstractNumId="21">
    <w:nsid w:val="323C64A4"/>
    <w:multiLevelType w:val="hybridMultilevel"/>
    <w:tmpl w:val="5F54893E"/>
    <w:lvl w:ilvl="0" w:tplc="04090001">
      <w:start w:val="1"/>
      <w:numFmt w:val="bullet"/>
      <w:lvlText w:val=""/>
      <w:lvlJc w:val="left"/>
      <w:pPr>
        <w:tabs>
          <w:tab w:val="num" w:pos="5760"/>
        </w:tabs>
        <w:ind w:left="57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4F5531F"/>
    <w:multiLevelType w:val="hybridMultilevel"/>
    <w:tmpl w:val="2AAED12E"/>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359720B2"/>
    <w:multiLevelType w:val="singleLevel"/>
    <w:tmpl w:val="CDE69F38"/>
    <w:lvl w:ilvl="0">
      <w:start w:val="1"/>
      <w:numFmt w:val="lowerRoman"/>
      <w:lvlText w:val="(%1)"/>
      <w:lvlJc w:val="left"/>
      <w:pPr>
        <w:tabs>
          <w:tab w:val="num" w:pos="1440"/>
        </w:tabs>
        <w:ind w:left="1080" w:hanging="360"/>
      </w:pPr>
      <w:rPr>
        <w:rFonts w:hint="default"/>
      </w:rPr>
    </w:lvl>
  </w:abstractNum>
  <w:abstractNum w:abstractNumId="24">
    <w:nsid w:val="35D01E64"/>
    <w:multiLevelType w:val="singleLevel"/>
    <w:tmpl w:val="2C40ED76"/>
    <w:lvl w:ilvl="0">
      <w:start w:val="1"/>
      <w:numFmt w:val="lowerLetter"/>
      <w:lvlText w:val="%1)"/>
      <w:lvlJc w:val="left"/>
      <w:pPr>
        <w:tabs>
          <w:tab w:val="num" w:pos="1800"/>
        </w:tabs>
        <w:ind w:left="1800" w:hanging="360"/>
      </w:pPr>
      <w:rPr>
        <w:rFonts w:hint="default"/>
      </w:rPr>
    </w:lvl>
  </w:abstractNum>
  <w:abstractNum w:abstractNumId="25">
    <w:nsid w:val="385668C9"/>
    <w:multiLevelType w:val="singleLevel"/>
    <w:tmpl w:val="CDE69F38"/>
    <w:lvl w:ilvl="0">
      <w:start w:val="1"/>
      <w:numFmt w:val="lowerRoman"/>
      <w:lvlText w:val="(%1)"/>
      <w:lvlJc w:val="left"/>
      <w:pPr>
        <w:tabs>
          <w:tab w:val="num" w:pos="1440"/>
        </w:tabs>
        <w:ind w:left="1080" w:hanging="360"/>
      </w:pPr>
      <w:rPr>
        <w:rFonts w:hint="default"/>
      </w:rPr>
    </w:lvl>
  </w:abstractNum>
  <w:abstractNum w:abstractNumId="26">
    <w:nsid w:val="3EA32E85"/>
    <w:multiLevelType w:val="hybridMultilevel"/>
    <w:tmpl w:val="B2529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80323E"/>
    <w:multiLevelType w:val="singleLevel"/>
    <w:tmpl w:val="6BEC94C8"/>
    <w:lvl w:ilvl="0">
      <w:start w:val="1"/>
      <w:numFmt w:val="lowerLetter"/>
      <w:lvlText w:val="%1)"/>
      <w:lvlJc w:val="left"/>
      <w:pPr>
        <w:tabs>
          <w:tab w:val="num" w:pos="1800"/>
        </w:tabs>
        <w:ind w:left="1800" w:hanging="360"/>
      </w:pPr>
      <w:rPr>
        <w:rFonts w:hint="default"/>
      </w:rPr>
    </w:lvl>
  </w:abstractNum>
  <w:abstractNum w:abstractNumId="28">
    <w:nsid w:val="41290BA1"/>
    <w:multiLevelType w:val="hybridMultilevel"/>
    <w:tmpl w:val="E7FA055E"/>
    <w:lvl w:ilvl="0" w:tplc="0409000F">
      <w:start w:val="1"/>
      <w:numFmt w:val="decimal"/>
      <w:lvlText w:val="%1."/>
      <w:lvlJc w:val="left"/>
      <w:pPr>
        <w:tabs>
          <w:tab w:val="num" w:pos="1080"/>
        </w:tabs>
        <w:ind w:left="1080" w:hanging="360"/>
      </w:pPr>
    </w:lvl>
    <w:lvl w:ilvl="1" w:tplc="63DC4FB4">
      <w:start w:val="1"/>
      <w:numFmt w:val="lowerLetter"/>
      <w:lvlText w:val="%2)"/>
      <w:lvlJc w:val="left"/>
      <w:pPr>
        <w:tabs>
          <w:tab w:val="num" w:pos="1800"/>
        </w:tabs>
        <w:ind w:left="1800" w:hanging="360"/>
      </w:pPr>
      <w:rPr>
        <w:lang w:val="fr-FR"/>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2E21D57"/>
    <w:multiLevelType w:val="singleLevel"/>
    <w:tmpl w:val="8946B82A"/>
    <w:lvl w:ilvl="0">
      <w:start w:val="1"/>
      <w:numFmt w:val="lowerLetter"/>
      <w:lvlText w:val="%1)"/>
      <w:lvlJc w:val="left"/>
      <w:pPr>
        <w:tabs>
          <w:tab w:val="num" w:pos="1800"/>
        </w:tabs>
        <w:ind w:left="1800" w:hanging="360"/>
      </w:pPr>
      <w:rPr>
        <w:rFonts w:hint="default"/>
      </w:rPr>
    </w:lvl>
  </w:abstractNum>
  <w:abstractNum w:abstractNumId="30">
    <w:nsid w:val="48C85AC4"/>
    <w:multiLevelType w:val="singleLevel"/>
    <w:tmpl w:val="C1F0C536"/>
    <w:lvl w:ilvl="0">
      <w:start w:val="1"/>
      <w:numFmt w:val="lowerLetter"/>
      <w:lvlText w:val="%1)"/>
      <w:lvlJc w:val="left"/>
      <w:pPr>
        <w:tabs>
          <w:tab w:val="num" w:pos="360"/>
        </w:tabs>
        <w:ind w:left="360" w:hanging="360"/>
      </w:pPr>
      <w:rPr>
        <w:rFonts w:hint="default"/>
      </w:rPr>
    </w:lvl>
  </w:abstractNum>
  <w:abstractNum w:abstractNumId="31">
    <w:nsid w:val="498236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A710A7B"/>
    <w:multiLevelType w:val="singleLevel"/>
    <w:tmpl w:val="CDE69F38"/>
    <w:lvl w:ilvl="0">
      <w:start w:val="1"/>
      <w:numFmt w:val="lowerRoman"/>
      <w:lvlText w:val="(%1)"/>
      <w:lvlJc w:val="left"/>
      <w:pPr>
        <w:tabs>
          <w:tab w:val="num" w:pos="1440"/>
        </w:tabs>
        <w:ind w:left="1080" w:hanging="360"/>
      </w:pPr>
      <w:rPr>
        <w:rFonts w:hint="default"/>
      </w:rPr>
    </w:lvl>
  </w:abstractNum>
  <w:abstractNum w:abstractNumId="33">
    <w:nsid w:val="4B717183"/>
    <w:multiLevelType w:val="hybridMultilevel"/>
    <w:tmpl w:val="B156E15E"/>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4">
    <w:nsid w:val="52E90AAB"/>
    <w:multiLevelType w:val="hybridMultilevel"/>
    <w:tmpl w:val="FD4E3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0B1B34"/>
    <w:multiLevelType w:val="singleLevel"/>
    <w:tmpl w:val="BE50A0DC"/>
    <w:lvl w:ilvl="0">
      <w:start w:val="1"/>
      <w:numFmt w:val="lowerRoman"/>
      <w:lvlText w:val="(%1)"/>
      <w:lvlJc w:val="left"/>
      <w:pPr>
        <w:tabs>
          <w:tab w:val="num" w:pos="2880"/>
        </w:tabs>
        <w:ind w:left="2880" w:hanging="720"/>
      </w:pPr>
      <w:rPr>
        <w:u w:val="none"/>
      </w:rPr>
    </w:lvl>
  </w:abstractNum>
  <w:abstractNum w:abstractNumId="36">
    <w:nsid w:val="53982D19"/>
    <w:multiLevelType w:val="singleLevel"/>
    <w:tmpl w:val="BE50A0DC"/>
    <w:lvl w:ilvl="0">
      <w:start w:val="1"/>
      <w:numFmt w:val="lowerRoman"/>
      <w:lvlText w:val="(%1)"/>
      <w:lvlJc w:val="left"/>
      <w:pPr>
        <w:tabs>
          <w:tab w:val="num" w:pos="2880"/>
        </w:tabs>
        <w:ind w:left="2880" w:hanging="720"/>
      </w:pPr>
      <w:rPr>
        <w:u w:val="none"/>
      </w:rPr>
    </w:lvl>
  </w:abstractNum>
  <w:abstractNum w:abstractNumId="37">
    <w:nsid w:val="59A37E9B"/>
    <w:multiLevelType w:val="singleLevel"/>
    <w:tmpl w:val="BB8EE9B2"/>
    <w:lvl w:ilvl="0">
      <w:start w:val="1"/>
      <w:numFmt w:val="decimal"/>
      <w:lvlText w:val="%1)"/>
      <w:lvlJc w:val="left"/>
      <w:pPr>
        <w:tabs>
          <w:tab w:val="num" w:pos="810"/>
        </w:tabs>
        <w:ind w:left="810" w:hanging="360"/>
      </w:pPr>
      <w:rPr>
        <w:rFonts w:hint="default"/>
      </w:rPr>
    </w:lvl>
  </w:abstractNum>
  <w:abstractNum w:abstractNumId="38">
    <w:nsid w:val="5B3D0448"/>
    <w:multiLevelType w:val="singleLevel"/>
    <w:tmpl w:val="BE50A0DC"/>
    <w:lvl w:ilvl="0">
      <w:start w:val="1"/>
      <w:numFmt w:val="lowerRoman"/>
      <w:lvlText w:val="(%1)"/>
      <w:lvlJc w:val="left"/>
      <w:pPr>
        <w:tabs>
          <w:tab w:val="num" w:pos="2880"/>
        </w:tabs>
        <w:ind w:left="2880" w:hanging="720"/>
      </w:pPr>
      <w:rPr>
        <w:u w:val="none"/>
      </w:rPr>
    </w:lvl>
  </w:abstractNum>
  <w:abstractNum w:abstractNumId="39">
    <w:nsid w:val="5C9B6A5B"/>
    <w:multiLevelType w:val="hybridMultilevel"/>
    <w:tmpl w:val="047C7DCA"/>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40">
    <w:nsid w:val="5F7D072C"/>
    <w:multiLevelType w:val="multilevel"/>
    <w:tmpl w:val="C188FD9E"/>
    <w:lvl w:ilvl="0">
      <w:start w:val="1"/>
      <w:numFmt w:val="decimal"/>
      <w:lvlText w:val="%1"/>
      <w:lvlJc w:val="left"/>
      <w:pPr>
        <w:tabs>
          <w:tab w:val="num" w:pos="480"/>
        </w:tabs>
        <w:ind w:left="480" w:hanging="480"/>
      </w:pPr>
      <w:rPr>
        <w:rFonts w:hint="default"/>
        <w:b/>
      </w:rPr>
    </w:lvl>
    <w:lvl w:ilvl="1">
      <w:start w:val="4"/>
      <w:numFmt w:val="decimal"/>
      <w:lvlText w:val="%1.%2"/>
      <w:lvlJc w:val="left"/>
      <w:pPr>
        <w:tabs>
          <w:tab w:val="num" w:pos="480"/>
        </w:tabs>
        <w:ind w:left="480" w:hanging="48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1">
    <w:nsid w:val="607663BE"/>
    <w:multiLevelType w:val="hybridMultilevel"/>
    <w:tmpl w:val="5FE2E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18E5327"/>
    <w:multiLevelType w:val="singleLevel"/>
    <w:tmpl w:val="7BA60570"/>
    <w:lvl w:ilvl="0">
      <w:start w:val="1"/>
      <w:numFmt w:val="lowerLetter"/>
      <w:lvlText w:val="(%1)"/>
      <w:lvlJc w:val="left"/>
      <w:pPr>
        <w:tabs>
          <w:tab w:val="num" w:pos="3255"/>
        </w:tabs>
        <w:ind w:left="3255" w:hanging="375"/>
      </w:pPr>
      <w:rPr>
        <w:rFonts w:hint="default"/>
      </w:rPr>
    </w:lvl>
  </w:abstractNum>
  <w:abstractNum w:abstractNumId="43">
    <w:nsid w:val="6555397B"/>
    <w:multiLevelType w:val="singleLevel"/>
    <w:tmpl w:val="CDE69F38"/>
    <w:lvl w:ilvl="0">
      <w:start w:val="1"/>
      <w:numFmt w:val="lowerRoman"/>
      <w:lvlText w:val="(%1)"/>
      <w:lvlJc w:val="left"/>
      <w:pPr>
        <w:tabs>
          <w:tab w:val="num" w:pos="1440"/>
        </w:tabs>
        <w:ind w:left="1080" w:hanging="360"/>
      </w:pPr>
      <w:rPr>
        <w:rFonts w:hint="default"/>
      </w:rPr>
    </w:lvl>
  </w:abstractNum>
  <w:abstractNum w:abstractNumId="44">
    <w:nsid w:val="663F42BD"/>
    <w:multiLevelType w:val="hybridMultilevel"/>
    <w:tmpl w:val="DE8E8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90C4656"/>
    <w:multiLevelType w:val="singleLevel"/>
    <w:tmpl w:val="F5206B06"/>
    <w:lvl w:ilvl="0">
      <w:start w:val="1"/>
      <w:numFmt w:val="lowerLetter"/>
      <w:lvlText w:val="%1)"/>
      <w:lvlJc w:val="left"/>
      <w:pPr>
        <w:tabs>
          <w:tab w:val="num" w:pos="1080"/>
        </w:tabs>
        <w:ind w:left="1080" w:hanging="360"/>
      </w:pPr>
      <w:rPr>
        <w:b w:val="0"/>
        <w:i w:val="0"/>
      </w:rPr>
    </w:lvl>
  </w:abstractNum>
  <w:abstractNum w:abstractNumId="46">
    <w:nsid w:val="6A0929E6"/>
    <w:multiLevelType w:val="multilevel"/>
    <w:tmpl w:val="1E96AA26"/>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6D0E7FF1"/>
    <w:multiLevelType w:val="hybridMultilevel"/>
    <w:tmpl w:val="4DE0EAF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nsid w:val="6EE35511"/>
    <w:multiLevelType w:val="hybridMultilevel"/>
    <w:tmpl w:val="86A62342"/>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49">
    <w:nsid w:val="71824C39"/>
    <w:multiLevelType w:val="singleLevel"/>
    <w:tmpl w:val="C7801EE8"/>
    <w:lvl w:ilvl="0">
      <w:start w:val="1"/>
      <w:numFmt w:val="lowerLetter"/>
      <w:lvlText w:val="(%1)"/>
      <w:lvlJc w:val="left"/>
      <w:pPr>
        <w:tabs>
          <w:tab w:val="num" w:pos="1800"/>
        </w:tabs>
        <w:ind w:left="1800" w:hanging="360"/>
      </w:pPr>
      <w:rPr>
        <w:rFonts w:hint="default"/>
      </w:rPr>
    </w:lvl>
  </w:abstractNum>
  <w:abstractNum w:abstractNumId="50">
    <w:nsid w:val="727B2902"/>
    <w:multiLevelType w:val="singleLevel"/>
    <w:tmpl w:val="EC7ACA26"/>
    <w:lvl w:ilvl="0">
      <w:start w:val="1"/>
      <w:numFmt w:val="lowerLetter"/>
      <w:lvlText w:val="%1)"/>
      <w:lvlJc w:val="left"/>
      <w:pPr>
        <w:tabs>
          <w:tab w:val="num" w:pos="1440"/>
        </w:tabs>
        <w:ind w:left="1440" w:hanging="360"/>
      </w:pPr>
      <w:rPr>
        <w:rFonts w:hint="default"/>
      </w:rPr>
    </w:lvl>
  </w:abstractNum>
  <w:abstractNum w:abstractNumId="51">
    <w:nsid w:val="74054799"/>
    <w:multiLevelType w:val="hybridMultilevel"/>
    <w:tmpl w:val="33965B44"/>
    <w:lvl w:ilvl="0" w:tplc="64766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A101BA0"/>
    <w:multiLevelType w:val="singleLevel"/>
    <w:tmpl w:val="CDE69F38"/>
    <w:lvl w:ilvl="0">
      <w:start w:val="1"/>
      <w:numFmt w:val="lowerRoman"/>
      <w:lvlText w:val="(%1)"/>
      <w:lvlJc w:val="left"/>
      <w:pPr>
        <w:tabs>
          <w:tab w:val="num" w:pos="1440"/>
        </w:tabs>
        <w:ind w:left="1080" w:hanging="360"/>
      </w:pPr>
      <w:rPr>
        <w:rFonts w:hint="default"/>
      </w:rPr>
    </w:lvl>
  </w:abstractNum>
  <w:abstractNum w:abstractNumId="53">
    <w:nsid w:val="7E096737"/>
    <w:multiLevelType w:val="singleLevel"/>
    <w:tmpl w:val="CDE69F38"/>
    <w:lvl w:ilvl="0">
      <w:start w:val="1"/>
      <w:numFmt w:val="lowerRoman"/>
      <w:lvlText w:val="(%1)"/>
      <w:lvlJc w:val="left"/>
      <w:pPr>
        <w:tabs>
          <w:tab w:val="num" w:pos="1440"/>
        </w:tabs>
        <w:ind w:left="1080" w:hanging="360"/>
      </w:pPr>
      <w:rPr>
        <w:rFonts w:hint="default"/>
      </w:rPr>
    </w:lvl>
  </w:abstractNum>
  <w:abstractNum w:abstractNumId="54">
    <w:nsid w:val="7EE97E50"/>
    <w:multiLevelType w:val="singleLevel"/>
    <w:tmpl w:val="F5206B06"/>
    <w:lvl w:ilvl="0">
      <w:start w:val="1"/>
      <w:numFmt w:val="lowerLetter"/>
      <w:lvlText w:val="%1)"/>
      <w:lvlJc w:val="left"/>
      <w:pPr>
        <w:tabs>
          <w:tab w:val="num" w:pos="1080"/>
        </w:tabs>
        <w:ind w:left="1080" w:hanging="360"/>
      </w:pPr>
      <w:rPr>
        <w:b w:val="0"/>
        <w:i w:val="0"/>
      </w:rPr>
    </w:lvl>
  </w:abstractNum>
  <w:num w:numId="1">
    <w:abstractNumId w:val="15"/>
  </w:num>
  <w:num w:numId="2">
    <w:abstractNumId w:val="37"/>
  </w:num>
  <w:num w:numId="3">
    <w:abstractNumId w:val="53"/>
  </w:num>
  <w:num w:numId="4">
    <w:abstractNumId w:val="49"/>
  </w:num>
  <w:num w:numId="5">
    <w:abstractNumId w:val="17"/>
  </w:num>
  <w:num w:numId="6">
    <w:abstractNumId w:val="3"/>
  </w:num>
  <w:num w:numId="7">
    <w:abstractNumId w:val="9"/>
  </w:num>
  <w:num w:numId="8">
    <w:abstractNumId w:val="52"/>
  </w:num>
  <w:num w:numId="9">
    <w:abstractNumId w:val="27"/>
  </w:num>
  <w:num w:numId="10">
    <w:abstractNumId w:val="20"/>
  </w:num>
  <w:num w:numId="11">
    <w:abstractNumId w:val="11"/>
  </w:num>
  <w:num w:numId="12">
    <w:abstractNumId w:val="29"/>
  </w:num>
  <w:num w:numId="13">
    <w:abstractNumId w:val="32"/>
  </w:num>
  <w:num w:numId="14">
    <w:abstractNumId w:val="24"/>
  </w:num>
  <w:num w:numId="15">
    <w:abstractNumId w:val="25"/>
  </w:num>
  <w:num w:numId="16">
    <w:abstractNumId w:val="23"/>
  </w:num>
  <w:num w:numId="17">
    <w:abstractNumId w:val="7"/>
  </w:num>
  <w:num w:numId="18">
    <w:abstractNumId w:val="43"/>
  </w:num>
  <w:num w:numId="19">
    <w:abstractNumId w:val="50"/>
  </w:num>
  <w:num w:numId="20">
    <w:abstractNumId w:val="38"/>
  </w:num>
  <w:num w:numId="21">
    <w:abstractNumId w:val="42"/>
  </w:num>
  <w:num w:numId="22">
    <w:abstractNumId w:val="54"/>
  </w:num>
  <w:num w:numId="23">
    <w:abstractNumId w:val="8"/>
  </w:num>
  <w:num w:numId="24">
    <w:abstractNumId w:val="45"/>
  </w:num>
  <w:num w:numId="25">
    <w:abstractNumId w:val="1"/>
  </w:num>
  <w:num w:numId="26">
    <w:abstractNumId w:val="35"/>
  </w:num>
  <w:num w:numId="27">
    <w:abstractNumId w:val="4"/>
  </w:num>
  <w:num w:numId="28">
    <w:abstractNumId w:val="36"/>
  </w:num>
  <w:num w:numId="29">
    <w:abstractNumId w:val="30"/>
  </w:num>
  <w:num w:numId="30">
    <w:abstractNumId w:val="10"/>
  </w:num>
  <w:num w:numId="31">
    <w:abstractNumId w:val="18"/>
  </w:num>
  <w:num w:numId="32">
    <w:abstractNumId w:val="39"/>
  </w:num>
  <w:num w:numId="33">
    <w:abstractNumId w:val="14"/>
  </w:num>
  <w:num w:numId="34">
    <w:abstractNumId w:val="48"/>
  </w:num>
  <w:num w:numId="35">
    <w:abstractNumId w:val="6"/>
  </w:num>
  <w:num w:numId="36">
    <w:abstractNumId w:val="41"/>
  </w:num>
  <w:num w:numId="37">
    <w:abstractNumId w:val="44"/>
  </w:num>
  <w:num w:numId="38">
    <w:abstractNumId w:val="47"/>
  </w:num>
  <w:num w:numId="39">
    <w:abstractNumId w:val="26"/>
  </w:num>
  <w:num w:numId="40">
    <w:abstractNumId w:val="12"/>
  </w:num>
  <w:num w:numId="41">
    <w:abstractNumId w:val="13"/>
  </w:num>
  <w:num w:numId="42">
    <w:abstractNumId w:val="46"/>
  </w:num>
  <w:num w:numId="43">
    <w:abstractNumId w:val="2"/>
  </w:num>
  <w:num w:numId="44">
    <w:abstractNumId w:val="33"/>
  </w:num>
  <w:num w:numId="45">
    <w:abstractNumId w:val="28"/>
  </w:num>
  <w:num w:numId="46">
    <w:abstractNumId w:val="22"/>
  </w:num>
  <w:num w:numId="47">
    <w:abstractNumId w:val="16"/>
  </w:num>
  <w:num w:numId="48">
    <w:abstractNumId w:val="40"/>
  </w:num>
  <w:num w:numId="49">
    <w:abstractNumId w:val="34"/>
  </w:num>
  <w:num w:numId="50">
    <w:abstractNumId w:val="5"/>
  </w:num>
  <w:num w:numId="51">
    <w:abstractNumId w:val="21"/>
  </w:num>
  <w:num w:numId="52">
    <w:abstractNumId w:val="31"/>
  </w:num>
  <w:num w:numId="53">
    <w:abstractNumId w:val="19"/>
  </w:num>
  <w:num w:numId="54">
    <w:abstractNumId w:val="51"/>
  </w:num>
  <w:num w:numId="55">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55278"/>
    <w:rsid w:val="000013C0"/>
    <w:rsid w:val="0000450D"/>
    <w:rsid w:val="00011E69"/>
    <w:rsid w:val="00014CDF"/>
    <w:rsid w:val="0002160A"/>
    <w:rsid w:val="00026507"/>
    <w:rsid w:val="000311C6"/>
    <w:rsid w:val="000402FF"/>
    <w:rsid w:val="0005354A"/>
    <w:rsid w:val="000569CE"/>
    <w:rsid w:val="00057C82"/>
    <w:rsid w:val="00064381"/>
    <w:rsid w:val="00080E47"/>
    <w:rsid w:val="000839DF"/>
    <w:rsid w:val="00092540"/>
    <w:rsid w:val="00095ECB"/>
    <w:rsid w:val="000A6259"/>
    <w:rsid w:val="000B587D"/>
    <w:rsid w:val="000B68AB"/>
    <w:rsid w:val="000B7F5A"/>
    <w:rsid w:val="000C30EE"/>
    <w:rsid w:val="000D4047"/>
    <w:rsid w:val="000E4671"/>
    <w:rsid w:val="000F6B15"/>
    <w:rsid w:val="00125466"/>
    <w:rsid w:val="00131775"/>
    <w:rsid w:val="0013424E"/>
    <w:rsid w:val="0014438A"/>
    <w:rsid w:val="00163B7F"/>
    <w:rsid w:val="00183D80"/>
    <w:rsid w:val="00183DA1"/>
    <w:rsid w:val="00190C58"/>
    <w:rsid w:val="00193132"/>
    <w:rsid w:val="001949C6"/>
    <w:rsid w:val="001C4262"/>
    <w:rsid w:val="001E66CE"/>
    <w:rsid w:val="00200FEE"/>
    <w:rsid w:val="00211034"/>
    <w:rsid w:val="00221826"/>
    <w:rsid w:val="002557D0"/>
    <w:rsid w:val="0029173A"/>
    <w:rsid w:val="002C1715"/>
    <w:rsid w:val="002C1D96"/>
    <w:rsid w:val="002C5A0E"/>
    <w:rsid w:val="002D02F7"/>
    <w:rsid w:val="002D1DB0"/>
    <w:rsid w:val="002D5C73"/>
    <w:rsid w:val="002D7091"/>
    <w:rsid w:val="002E0D37"/>
    <w:rsid w:val="002E3931"/>
    <w:rsid w:val="002E551F"/>
    <w:rsid w:val="002E5B6A"/>
    <w:rsid w:val="002F44FF"/>
    <w:rsid w:val="00302B6E"/>
    <w:rsid w:val="00306E4B"/>
    <w:rsid w:val="00310A80"/>
    <w:rsid w:val="0032258C"/>
    <w:rsid w:val="003361BD"/>
    <w:rsid w:val="00341E21"/>
    <w:rsid w:val="00345196"/>
    <w:rsid w:val="0035043B"/>
    <w:rsid w:val="0035116C"/>
    <w:rsid w:val="00351AD5"/>
    <w:rsid w:val="00351BE0"/>
    <w:rsid w:val="003545B9"/>
    <w:rsid w:val="00354A51"/>
    <w:rsid w:val="00362260"/>
    <w:rsid w:val="00367AB7"/>
    <w:rsid w:val="0037036B"/>
    <w:rsid w:val="00393C8D"/>
    <w:rsid w:val="00393F69"/>
    <w:rsid w:val="00394A47"/>
    <w:rsid w:val="003A6679"/>
    <w:rsid w:val="003B4D20"/>
    <w:rsid w:val="003C2838"/>
    <w:rsid w:val="003D00E7"/>
    <w:rsid w:val="003D0CBC"/>
    <w:rsid w:val="003D6160"/>
    <w:rsid w:val="003F7826"/>
    <w:rsid w:val="004002E7"/>
    <w:rsid w:val="0040192D"/>
    <w:rsid w:val="00427548"/>
    <w:rsid w:val="0043390F"/>
    <w:rsid w:val="004401B6"/>
    <w:rsid w:val="00447182"/>
    <w:rsid w:val="00450267"/>
    <w:rsid w:val="00461B22"/>
    <w:rsid w:val="00461EE5"/>
    <w:rsid w:val="004655D6"/>
    <w:rsid w:val="00475F93"/>
    <w:rsid w:val="00476654"/>
    <w:rsid w:val="0049512D"/>
    <w:rsid w:val="004A69AB"/>
    <w:rsid w:val="004B5DF2"/>
    <w:rsid w:val="004C120E"/>
    <w:rsid w:val="004C2774"/>
    <w:rsid w:val="004C6785"/>
    <w:rsid w:val="004D2FCF"/>
    <w:rsid w:val="004E2576"/>
    <w:rsid w:val="004E4C1C"/>
    <w:rsid w:val="004F171C"/>
    <w:rsid w:val="00500038"/>
    <w:rsid w:val="005013D7"/>
    <w:rsid w:val="00506BFA"/>
    <w:rsid w:val="00512BD4"/>
    <w:rsid w:val="00513774"/>
    <w:rsid w:val="00515EBA"/>
    <w:rsid w:val="005261DC"/>
    <w:rsid w:val="00527619"/>
    <w:rsid w:val="00531462"/>
    <w:rsid w:val="005371B9"/>
    <w:rsid w:val="005720AE"/>
    <w:rsid w:val="005817C7"/>
    <w:rsid w:val="00587C35"/>
    <w:rsid w:val="0059541D"/>
    <w:rsid w:val="005A2188"/>
    <w:rsid w:val="005A4097"/>
    <w:rsid w:val="005B4087"/>
    <w:rsid w:val="005B4979"/>
    <w:rsid w:val="005C01F4"/>
    <w:rsid w:val="005D0997"/>
    <w:rsid w:val="005D2E69"/>
    <w:rsid w:val="005D345B"/>
    <w:rsid w:val="005D612C"/>
    <w:rsid w:val="005E0790"/>
    <w:rsid w:val="005F096B"/>
    <w:rsid w:val="005F250E"/>
    <w:rsid w:val="006021A1"/>
    <w:rsid w:val="00603107"/>
    <w:rsid w:val="00603F6E"/>
    <w:rsid w:val="00613237"/>
    <w:rsid w:val="0062151C"/>
    <w:rsid w:val="00627A81"/>
    <w:rsid w:val="0064166F"/>
    <w:rsid w:val="00643137"/>
    <w:rsid w:val="006467EC"/>
    <w:rsid w:val="00651633"/>
    <w:rsid w:val="00655AB8"/>
    <w:rsid w:val="0066753B"/>
    <w:rsid w:val="00667C8A"/>
    <w:rsid w:val="00674A0E"/>
    <w:rsid w:val="006772D2"/>
    <w:rsid w:val="00685DDF"/>
    <w:rsid w:val="00691FF3"/>
    <w:rsid w:val="006952C2"/>
    <w:rsid w:val="006A6278"/>
    <w:rsid w:val="006A6DC9"/>
    <w:rsid w:val="006B28FF"/>
    <w:rsid w:val="006B4EF9"/>
    <w:rsid w:val="006B63E7"/>
    <w:rsid w:val="006C4617"/>
    <w:rsid w:val="006E470C"/>
    <w:rsid w:val="006F1C3C"/>
    <w:rsid w:val="006F21A7"/>
    <w:rsid w:val="00707B02"/>
    <w:rsid w:val="00722CC2"/>
    <w:rsid w:val="0072403A"/>
    <w:rsid w:val="0072444C"/>
    <w:rsid w:val="007322AB"/>
    <w:rsid w:val="00737634"/>
    <w:rsid w:val="007448C1"/>
    <w:rsid w:val="00746676"/>
    <w:rsid w:val="0078593E"/>
    <w:rsid w:val="00794E19"/>
    <w:rsid w:val="00795D6C"/>
    <w:rsid w:val="007A49ED"/>
    <w:rsid w:val="007C2B9D"/>
    <w:rsid w:val="007E3692"/>
    <w:rsid w:val="007E6ED5"/>
    <w:rsid w:val="007F2F26"/>
    <w:rsid w:val="007F5BE8"/>
    <w:rsid w:val="007F79CE"/>
    <w:rsid w:val="00812182"/>
    <w:rsid w:val="00820247"/>
    <w:rsid w:val="00832E89"/>
    <w:rsid w:val="00841978"/>
    <w:rsid w:val="008419A0"/>
    <w:rsid w:val="00847176"/>
    <w:rsid w:val="00852D1E"/>
    <w:rsid w:val="0085749D"/>
    <w:rsid w:val="008749DB"/>
    <w:rsid w:val="00885B71"/>
    <w:rsid w:val="0088691F"/>
    <w:rsid w:val="00891A58"/>
    <w:rsid w:val="008A1158"/>
    <w:rsid w:val="008A21DE"/>
    <w:rsid w:val="008B0233"/>
    <w:rsid w:val="008B3B04"/>
    <w:rsid w:val="008E7C6B"/>
    <w:rsid w:val="008F0AA8"/>
    <w:rsid w:val="00915890"/>
    <w:rsid w:val="00922E8B"/>
    <w:rsid w:val="00923C81"/>
    <w:rsid w:val="00935B23"/>
    <w:rsid w:val="009362F0"/>
    <w:rsid w:val="009413D6"/>
    <w:rsid w:val="00965228"/>
    <w:rsid w:val="00973D4E"/>
    <w:rsid w:val="00975EAF"/>
    <w:rsid w:val="009827D8"/>
    <w:rsid w:val="0098713A"/>
    <w:rsid w:val="00992CC1"/>
    <w:rsid w:val="00992F41"/>
    <w:rsid w:val="009969CC"/>
    <w:rsid w:val="009A400F"/>
    <w:rsid w:val="009A7A74"/>
    <w:rsid w:val="009D42A6"/>
    <w:rsid w:val="009E5F14"/>
    <w:rsid w:val="009F5582"/>
    <w:rsid w:val="00A00B1D"/>
    <w:rsid w:val="00A00DA7"/>
    <w:rsid w:val="00A01EC4"/>
    <w:rsid w:val="00A1081C"/>
    <w:rsid w:val="00A10DC9"/>
    <w:rsid w:val="00A14B59"/>
    <w:rsid w:val="00A216F2"/>
    <w:rsid w:val="00A2433B"/>
    <w:rsid w:val="00A27DBC"/>
    <w:rsid w:val="00A3288B"/>
    <w:rsid w:val="00A32C20"/>
    <w:rsid w:val="00A3575B"/>
    <w:rsid w:val="00A3759F"/>
    <w:rsid w:val="00A4016F"/>
    <w:rsid w:val="00A42458"/>
    <w:rsid w:val="00A458FB"/>
    <w:rsid w:val="00A50086"/>
    <w:rsid w:val="00A55278"/>
    <w:rsid w:val="00A554A9"/>
    <w:rsid w:val="00A63315"/>
    <w:rsid w:val="00A67D5E"/>
    <w:rsid w:val="00A73DEB"/>
    <w:rsid w:val="00A84740"/>
    <w:rsid w:val="00A85544"/>
    <w:rsid w:val="00A863A8"/>
    <w:rsid w:val="00A8696C"/>
    <w:rsid w:val="00AA0013"/>
    <w:rsid w:val="00AA7326"/>
    <w:rsid w:val="00AA7762"/>
    <w:rsid w:val="00AA7D9C"/>
    <w:rsid w:val="00AC0FC7"/>
    <w:rsid w:val="00AC4B1E"/>
    <w:rsid w:val="00AD4D6D"/>
    <w:rsid w:val="00AE1491"/>
    <w:rsid w:val="00AE4BB0"/>
    <w:rsid w:val="00AE50F0"/>
    <w:rsid w:val="00AF4FCC"/>
    <w:rsid w:val="00B0603A"/>
    <w:rsid w:val="00B2352C"/>
    <w:rsid w:val="00B271BD"/>
    <w:rsid w:val="00B277F7"/>
    <w:rsid w:val="00B42C92"/>
    <w:rsid w:val="00B53107"/>
    <w:rsid w:val="00B537CC"/>
    <w:rsid w:val="00B62F49"/>
    <w:rsid w:val="00B65468"/>
    <w:rsid w:val="00B67B9C"/>
    <w:rsid w:val="00B70790"/>
    <w:rsid w:val="00B7200D"/>
    <w:rsid w:val="00B75A2D"/>
    <w:rsid w:val="00B77737"/>
    <w:rsid w:val="00B9702C"/>
    <w:rsid w:val="00B97174"/>
    <w:rsid w:val="00BA357A"/>
    <w:rsid w:val="00BA6730"/>
    <w:rsid w:val="00BC1C5B"/>
    <w:rsid w:val="00BC4A98"/>
    <w:rsid w:val="00BD0FF4"/>
    <w:rsid w:val="00BD258E"/>
    <w:rsid w:val="00BD4433"/>
    <w:rsid w:val="00BD6666"/>
    <w:rsid w:val="00C04DF4"/>
    <w:rsid w:val="00C13034"/>
    <w:rsid w:val="00C2180A"/>
    <w:rsid w:val="00C34138"/>
    <w:rsid w:val="00C3549A"/>
    <w:rsid w:val="00C4152F"/>
    <w:rsid w:val="00C42F37"/>
    <w:rsid w:val="00C518A7"/>
    <w:rsid w:val="00C5303D"/>
    <w:rsid w:val="00C70B33"/>
    <w:rsid w:val="00C80438"/>
    <w:rsid w:val="00C8270D"/>
    <w:rsid w:val="00C83F6F"/>
    <w:rsid w:val="00C84F4F"/>
    <w:rsid w:val="00C90C76"/>
    <w:rsid w:val="00C9685D"/>
    <w:rsid w:val="00CB459F"/>
    <w:rsid w:val="00CB48DA"/>
    <w:rsid w:val="00CC08A6"/>
    <w:rsid w:val="00CC2201"/>
    <w:rsid w:val="00CC4748"/>
    <w:rsid w:val="00CC4F8F"/>
    <w:rsid w:val="00CD66BF"/>
    <w:rsid w:val="00CE7E8A"/>
    <w:rsid w:val="00CF25EA"/>
    <w:rsid w:val="00CF2940"/>
    <w:rsid w:val="00D0613F"/>
    <w:rsid w:val="00D106F4"/>
    <w:rsid w:val="00D13AF5"/>
    <w:rsid w:val="00D30E28"/>
    <w:rsid w:val="00D32456"/>
    <w:rsid w:val="00D3259C"/>
    <w:rsid w:val="00D42294"/>
    <w:rsid w:val="00D56E7D"/>
    <w:rsid w:val="00D57894"/>
    <w:rsid w:val="00D61A10"/>
    <w:rsid w:val="00D64587"/>
    <w:rsid w:val="00D7017E"/>
    <w:rsid w:val="00D70736"/>
    <w:rsid w:val="00D715A3"/>
    <w:rsid w:val="00D877A4"/>
    <w:rsid w:val="00D934C9"/>
    <w:rsid w:val="00D9387B"/>
    <w:rsid w:val="00D96FF3"/>
    <w:rsid w:val="00DC6C1F"/>
    <w:rsid w:val="00DE2C16"/>
    <w:rsid w:val="00DE4025"/>
    <w:rsid w:val="00DE56EA"/>
    <w:rsid w:val="00DE63E0"/>
    <w:rsid w:val="00DF0B3F"/>
    <w:rsid w:val="00DF2EDA"/>
    <w:rsid w:val="00DF74ED"/>
    <w:rsid w:val="00E03F8C"/>
    <w:rsid w:val="00E1332E"/>
    <w:rsid w:val="00E1475F"/>
    <w:rsid w:val="00E437EC"/>
    <w:rsid w:val="00E44150"/>
    <w:rsid w:val="00E4659F"/>
    <w:rsid w:val="00E50D5D"/>
    <w:rsid w:val="00E5161E"/>
    <w:rsid w:val="00E601FE"/>
    <w:rsid w:val="00E66394"/>
    <w:rsid w:val="00E72917"/>
    <w:rsid w:val="00E90401"/>
    <w:rsid w:val="00E917B0"/>
    <w:rsid w:val="00EA2522"/>
    <w:rsid w:val="00EB429B"/>
    <w:rsid w:val="00EC7C4A"/>
    <w:rsid w:val="00ED4D50"/>
    <w:rsid w:val="00EE73D7"/>
    <w:rsid w:val="00EF58D0"/>
    <w:rsid w:val="00EF5ECB"/>
    <w:rsid w:val="00F076A0"/>
    <w:rsid w:val="00F13399"/>
    <w:rsid w:val="00F20DEE"/>
    <w:rsid w:val="00F23E4C"/>
    <w:rsid w:val="00F5337B"/>
    <w:rsid w:val="00F53A83"/>
    <w:rsid w:val="00F53B6C"/>
    <w:rsid w:val="00F570AF"/>
    <w:rsid w:val="00F72953"/>
    <w:rsid w:val="00F837F9"/>
    <w:rsid w:val="00F86F31"/>
    <w:rsid w:val="00F94868"/>
    <w:rsid w:val="00FA3310"/>
    <w:rsid w:val="00FB764A"/>
    <w:rsid w:val="00FF20E4"/>
    <w:rsid w:val="00FF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91F"/>
    <w:pPr>
      <w:spacing w:before="120"/>
    </w:pPr>
    <w:rPr>
      <w:sz w:val="24"/>
    </w:rPr>
  </w:style>
  <w:style w:type="paragraph" w:styleId="Heading1">
    <w:name w:val="heading 1"/>
    <w:basedOn w:val="Normal"/>
    <w:next w:val="Normal"/>
    <w:qFormat/>
    <w:rsid w:val="00A5527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1931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qFormat/>
    <w:rsid w:val="00A55278"/>
    <w:pPr>
      <w:keepNext/>
      <w:tabs>
        <w:tab w:val="left" w:pos="1080"/>
        <w:tab w:val="left" w:pos="1800"/>
      </w:tabs>
      <w:jc w:val="both"/>
      <w:outlineLvl w:val="2"/>
    </w:pPr>
    <w:rPr>
      <w:rFonts w:ascii="Arial" w:hAnsi="Arial"/>
      <w:b/>
      <w:sz w:val="28"/>
    </w:rPr>
  </w:style>
  <w:style w:type="paragraph" w:styleId="Heading4">
    <w:name w:val="heading 4"/>
    <w:basedOn w:val="Normal"/>
    <w:qFormat/>
    <w:rsid w:val="00A55278"/>
    <w:pPr>
      <w:keepNext/>
      <w:tabs>
        <w:tab w:val="left" w:pos="1800"/>
      </w:tabs>
      <w:outlineLvl w:val="3"/>
    </w:pPr>
    <w:rPr>
      <w:rFonts w:ascii="Arial" w:hAnsi="Arial"/>
      <w:b/>
    </w:rPr>
  </w:style>
  <w:style w:type="paragraph" w:styleId="Heading8">
    <w:name w:val="heading 8"/>
    <w:basedOn w:val="Normal"/>
    <w:next w:val="Normal"/>
    <w:qFormat/>
    <w:rsid w:val="00A55278"/>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lt-H)"/>
    <w:basedOn w:val="Normal"/>
    <w:rsid w:val="00A55278"/>
    <w:pPr>
      <w:tabs>
        <w:tab w:val="center" w:pos="4320"/>
        <w:tab w:val="right" w:pos="8640"/>
      </w:tabs>
    </w:pPr>
  </w:style>
  <w:style w:type="paragraph" w:styleId="CommentText">
    <w:name w:val="annotation text"/>
    <w:basedOn w:val="Normal"/>
    <w:semiHidden/>
    <w:rsid w:val="00A55278"/>
    <w:rPr>
      <w:sz w:val="20"/>
    </w:rPr>
  </w:style>
  <w:style w:type="paragraph" w:styleId="BalloonText">
    <w:name w:val="Balloon Text"/>
    <w:basedOn w:val="Normal"/>
    <w:semiHidden/>
    <w:rsid w:val="00A55278"/>
    <w:rPr>
      <w:rFonts w:ascii="Tahoma" w:hAnsi="Tahoma" w:cs="Tahoma"/>
      <w:sz w:val="16"/>
      <w:szCs w:val="16"/>
    </w:rPr>
  </w:style>
  <w:style w:type="paragraph" w:styleId="NormalWeb">
    <w:name w:val="Normal (Web)"/>
    <w:basedOn w:val="Normal"/>
    <w:rsid w:val="00A55278"/>
    <w:pPr>
      <w:spacing w:before="100" w:beforeAutospacing="1" w:after="100" w:afterAutospacing="1"/>
    </w:pPr>
    <w:rPr>
      <w:szCs w:val="24"/>
    </w:rPr>
  </w:style>
  <w:style w:type="paragraph" w:styleId="BodyText2">
    <w:name w:val="Body Text 2"/>
    <w:basedOn w:val="Normal"/>
    <w:rsid w:val="00A55278"/>
    <w:pPr>
      <w:tabs>
        <w:tab w:val="left" w:pos="720"/>
      </w:tabs>
      <w:spacing w:before="0"/>
      <w:ind w:left="720"/>
    </w:pPr>
    <w:rPr>
      <w:sz w:val="22"/>
    </w:rPr>
  </w:style>
  <w:style w:type="paragraph" w:styleId="BodyTextIndent2">
    <w:name w:val="Body Text Indent 2"/>
    <w:basedOn w:val="Normal"/>
    <w:rsid w:val="00A55278"/>
    <w:pPr>
      <w:spacing w:after="120" w:line="480" w:lineRule="auto"/>
      <w:ind w:left="360"/>
    </w:pPr>
  </w:style>
  <w:style w:type="paragraph" w:styleId="BodyTextIndent3">
    <w:name w:val="Body Text Indent 3"/>
    <w:basedOn w:val="Normal"/>
    <w:rsid w:val="00A55278"/>
    <w:pPr>
      <w:spacing w:after="120"/>
      <w:ind w:left="360"/>
    </w:pPr>
    <w:rPr>
      <w:sz w:val="16"/>
      <w:szCs w:val="16"/>
    </w:rPr>
  </w:style>
  <w:style w:type="paragraph" w:customStyle="1" w:styleId="DFARS">
    <w:name w:val="DFARS"/>
    <w:basedOn w:val="Normal"/>
    <w:rsid w:val="00A55278"/>
    <w:pPr>
      <w:tabs>
        <w:tab w:val="left" w:pos="360"/>
        <w:tab w:val="left" w:pos="810"/>
        <w:tab w:val="left" w:pos="1210"/>
        <w:tab w:val="left" w:pos="1656"/>
        <w:tab w:val="left" w:pos="2131"/>
        <w:tab w:val="left" w:pos="2520"/>
      </w:tabs>
      <w:spacing w:before="0" w:line="240" w:lineRule="exact"/>
    </w:pPr>
    <w:rPr>
      <w:rFonts w:ascii="Century Schoolbook" w:hAnsi="Century Schoolbook"/>
      <w:spacing w:val="-5"/>
      <w:kern w:val="20"/>
    </w:rPr>
  </w:style>
  <w:style w:type="paragraph" w:styleId="BodyTextIndent">
    <w:name w:val="Body Text Indent"/>
    <w:basedOn w:val="Normal"/>
    <w:rsid w:val="00A55278"/>
    <w:pPr>
      <w:spacing w:after="120"/>
      <w:ind w:left="360"/>
    </w:pPr>
  </w:style>
  <w:style w:type="paragraph" w:styleId="BodyTextFirstIndent2">
    <w:name w:val="Body Text First Indent 2"/>
    <w:basedOn w:val="BodyTextIndent"/>
    <w:semiHidden/>
    <w:rsid w:val="00A55278"/>
    <w:pPr>
      <w:spacing w:before="0"/>
      <w:ind w:firstLine="210"/>
    </w:pPr>
    <w:rPr>
      <w:rFonts w:ascii="Garamond" w:hAnsi="Garamond"/>
      <w:sz w:val="21"/>
      <w:szCs w:val="24"/>
    </w:rPr>
  </w:style>
  <w:style w:type="paragraph" w:styleId="CommentSubject">
    <w:name w:val="annotation subject"/>
    <w:basedOn w:val="CommentText"/>
    <w:next w:val="CommentText"/>
    <w:semiHidden/>
    <w:rsid w:val="00A55278"/>
    <w:rPr>
      <w:b/>
      <w:bCs/>
    </w:rPr>
  </w:style>
  <w:style w:type="paragraph" w:styleId="Footer">
    <w:name w:val="footer"/>
    <w:basedOn w:val="Normal"/>
    <w:rsid w:val="00A55278"/>
    <w:pPr>
      <w:tabs>
        <w:tab w:val="center" w:pos="4320"/>
        <w:tab w:val="right" w:pos="8640"/>
      </w:tabs>
    </w:pPr>
  </w:style>
  <w:style w:type="character" w:styleId="PageNumber">
    <w:name w:val="page number"/>
    <w:basedOn w:val="DefaultParagraphFont"/>
    <w:rsid w:val="00A55278"/>
  </w:style>
  <w:style w:type="paragraph" w:customStyle="1" w:styleId="Style3">
    <w:name w:val="Style3"/>
    <w:basedOn w:val="Normal"/>
    <w:autoRedefine/>
    <w:rsid w:val="00A55278"/>
    <w:pPr>
      <w:widowControl w:val="0"/>
      <w:tabs>
        <w:tab w:val="left" w:pos="0"/>
        <w:tab w:val="left" w:pos="180"/>
        <w:tab w:val="left" w:pos="360"/>
        <w:tab w:val="left" w:pos="1620"/>
      </w:tabs>
      <w:autoSpaceDE w:val="0"/>
      <w:autoSpaceDN w:val="0"/>
      <w:adjustRightInd w:val="0"/>
      <w:spacing w:before="0"/>
    </w:pPr>
    <w:rPr>
      <w:szCs w:val="24"/>
    </w:rPr>
  </w:style>
  <w:style w:type="paragraph" w:customStyle="1" w:styleId="TableTitle">
    <w:name w:val="Table Title"/>
    <w:basedOn w:val="Normal"/>
    <w:rsid w:val="00CE7E8A"/>
    <w:pPr>
      <w:spacing w:before="0"/>
      <w:jc w:val="center"/>
    </w:pPr>
    <w:rPr>
      <w:rFonts w:ascii="Arial" w:hAnsi="Arial" w:cs="Arial"/>
      <w:b/>
      <w:szCs w:val="24"/>
    </w:rPr>
  </w:style>
  <w:style w:type="character" w:styleId="Strong">
    <w:name w:val="Strong"/>
    <w:basedOn w:val="DefaultParagraphFont"/>
    <w:qFormat/>
    <w:rsid w:val="00CE7E8A"/>
    <w:rPr>
      <w:b/>
      <w:bCs/>
    </w:rPr>
  </w:style>
  <w:style w:type="character" w:styleId="Hyperlink">
    <w:name w:val="Hyperlink"/>
    <w:basedOn w:val="DefaultParagraphFont"/>
    <w:uiPriority w:val="99"/>
    <w:rsid w:val="00FF20E4"/>
    <w:rPr>
      <w:color w:val="0000FF" w:themeColor="hyperlink"/>
      <w:u w:val="single"/>
    </w:rPr>
  </w:style>
  <w:style w:type="paragraph" w:styleId="ListParagraph">
    <w:name w:val="List Paragraph"/>
    <w:basedOn w:val="Normal"/>
    <w:uiPriority w:val="34"/>
    <w:qFormat/>
    <w:rsid w:val="00C84F4F"/>
    <w:pPr>
      <w:ind w:left="720"/>
      <w:contextualSpacing/>
    </w:pPr>
  </w:style>
  <w:style w:type="character" w:styleId="CommentReference">
    <w:name w:val="annotation reference"/>
    <w:basedOn w:val="DefaultParagraphFont"/>
    <w:rsid w:val="00965228"/>
    <w:rPr>
      <w:sz w:val="16"/>
      <w:szCs w:val="16"/>
    </w:rPr>
  </w:style>
  <w:style w:type="paragraph" w:styleId="Caption">
    <w:name w:val="caption"/>
    <w:basedOn w:val="Normal"/>
    <w:next w:val="Normal"/>
    <w:unhideWhenUsed/>
    <w:qFormat/>
    <w:rsid w:val="006B28FF"/>
    <w:pPr>
      <w:spacing w:before="0" w:after="200"/>
    </w:pPr>
    <w:rPr>
      <w:b/>
      <w:bCs/>
      <w:color w:val="4F81BD" w:themeColor="accent1"/>
      <w:sz w:val="18"/>
      <w:szCs w:val="18"/>
    </w:rPr>
  </w:style>
  <w:style w:type="paragraph" w:styleId="TOCHeading">
    <w:name w:val="TOC Heading"/>
    <w:basedOn w:val="Heading1"/>
    <w:next w:val="Normal"/>
    <w:uiPriority w:val="39"/>
    <w:semiHidden/>
    <w:unhideWhenUsed/>
    <w:qFormat/>
    <w:rsid w:val="00E6639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rsid w:val="00E66394"/>
    <w:pPr>
      <w:spacing w:after="100"/>
      <w:ind w:left="480"/>
    </w:pPr>
  </w:style>
  <w:style w:type="paragraph" w:styleId="TOC1">
    <w:name w:val="toc 1"/>
    <w:basedOn w:val="Normal"/>
    <w:next w:val="Normal"/>
    <w:autoRedefine/>
    <w:uiPriority w:val="39"/>
    <w:rsid w:val="00E66394"/>
    <w:pPr>
      <w:spacing w:after="100"/>
    </w:pPr>
  </w:style>
  <w:style w:type="table" w:styleId="TableGrid">
    <w:name w:val="Table Grid"/>
    <w:basedOn w:val="TableNormal"/>
    <w:rsid w:val="000265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C80438"/>
    <w:pPr>
      <w:spacing w:before="0"/>
    </w:pPr>
    <w:rPr>
      <w:sz w:val="20"/>
    </w:rPr>
  </w:style>
  <w:style w:type="character" w:customStyle="1" w:styleId="FootnoteTextChar">
    <w:name w:val="Footnote Text Char"/>
    <w:basedOn w:val="DefaultParagraphFont"/>
    <w:link w:val="FootnoteText"/>
    <w:rsid w:val="00C80438"/>
  </w:style>
  <w:style w:type="character" w:styleId="FootnoteReference">
    <w:name w:val="footnote reference"/>
    <w:basedOn w:val="DefaultParagraphFont"/>
    <w:rsid w:val="00C80438"/>
    <w:rPr>
      <w:vertAlign w:val="superscript"/>
    </w:rPr>
  </w:style>
  <w:style w:type="character" w:customStyle="1" w:styleId="Heading2Char">
    <w:name w:val="Heading 2 Char"/>
    <w:basedOn w:val="DefaultParagraphFont"/>
    <w:link w:val="Heading2"/>
    <w:semiHidden/>
    <w:rsid w:val="0019313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8F0AA8"/>
    <w:pPr>
      <w:spacing w:after="100"/>
      <w:ind w:left="240"/>
    </w:pPr>
  </w:style>
  <w:style w:type="paragraph" w:styleId="TableofFigures">
    <w:name w:val="table of figures"/>
    <w:basedOn w:val="Normal"/>
    <w:next w:val="Normal"/>
    <w:uiPriority w:val="99"/>
    <w:rsid w:val="003D6160"/>
  </w:style>
  <w:style w:type="character" w:styleId="FollowedHyperlink">
    <w:name w:val="FollowedHyperlink"/>
    <w:basedOn w:val="DefaultParagraphFont"/>
    <w:rsid w:val="00A3575B"/>
    <w:rPr>
      <w:color w:val="800080" w:themeColor="followedHyperlink"/>
      <w:u w:val="single"/>
    </w:rPr>
  </w:style>
  <w:style w:type="paragraph" w:customStyle="1" w:styleId="Default">
    <w:name w:val="Default"/>
    <w:rsid w:val="00674A0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265246">
      <w:bodyDiv w:val="1"/>
      <w:marLeft w:val="0"/>
      <w:marRight w:val="0"/>
      <w:marTop w:val="0"/>
      <w:marBottom w:val="0"/>
      <w:divBdr>
        <w:top w:val="none" w:sz="0" w:space="0" w:color="auto"/>
        <w:left w:val="none" w:sz="0" w:space="0" w:color="auto"/>
        <w:bottom w:val="none" w:sz="0" w:space="0" w:color="auto"/>
        <w:right w:val="none" w:sz="0" w:space="0" w:color="auto"/>
      </w:divBdr>
    </w:div>
    <w:div w:id="99680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image" Target="media/image11.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hyperlink" Target="http://www.wawftraining.eb.mil" TargetMode="External"/><Relationship Id="rId17" Type="http://schemas.openxmlformats.org/officeDocument/2006/relationships/image" Target="media/image3.png"/><Relationship Id="rId25" Type="http://schemas.openxmlformats.org/officeDocument/2006/relationships/image" Target="media/image10.png"/><Relationship Id="rId33" Type="http://schemas.openxmlformats.org/officeDocument/2006/relationships/footer" Target="footer4.xm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acq.osd.mil/pepolicy/pdfs/USA006862-11%20Standard%20Equipment%20Data%20Elements%20for%20Government%20Furnished%20Property%20Baseline%20Est%20.pdf" TargetMode="External"/><Relationship Id="rId20" Type="http://schemas.openxmlformats.org/officeDocument/2006/relationships/hyperlink" Target="http://www2.dla.mil/j-6/dlmso/elibrary/Transformats/Supplements/4010/004010F527R5RP32_Jan0712_PDC_419.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9.png"/><Relationship Id="rId32" Type="http://schemas.openxmlformats.org/officeDocument/2006/relationships/hyperlink" Target="http://www.acq.osd.mil/dpap/dars/pgi/pgi_pdf/PGI245_2.pdf"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cq.osd.mil/dpap/pdi/pc/docs/RequisitionedGovernmentFurnishedProperty-VERSION1.3_distributed_0005.pdf"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hyperlink" Target="https://wawftraining.eb.mil" TargetMode="Externa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cq.osd.mil/dpap/pdi/pc/docs/ScheduledGovernmentFurnishedProperty-VERSION1.4_distributed_.pdf"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header" Target="header2.xml"/><Relationship Id="rId35"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C6FC5-0BF7-4E72-850F-5BE5F24C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5924</Words>
  <Characters>33769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DEPARTMENT OF DEFENSE</vt:lpstr>
    </vt:vector>
  </TitlesOfParts>
  <Company>DoD</Company>
  <LinksUpToDate>false</LinksUpToDate>
  <CharactersWithSpaces>39614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DEFENSE</dc:title>
  <dc:creator>bartlemk</dc:creator>
  <cp:lastModifiedBy>Chuck Schadl</cp:lastModifiedBy>
  <cp:revision>2</cp:revision>
  <cp:lastPrinted>2012-05-18T16:58:00Z</cp:lastPrinted>
  <dcterms:created xsi:type="dcterms:W3CDTF">2014-05-29T13:30:00Z</dcterms:created>
  <dcterms:modified xsi:type="dcterms:W3CDTF">2014-05-29T13:30:00Z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ACCT04\rooneyp</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ies>
</file>